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48456" w14:textId="77777777" w:rsidR="00D441B9" w:rsidRPr="00C47BE5" w:rsidRDefault="00D441B9" w:rsidP="00D441B9">
      <w:pPr>
        <w:pStyle w:val="Normal0"/>
        <w:jc w:val="center"/>
        <w:rPr>
          <w:rFonts w:ascii="Century Gothic" w:hAnsi="Century Gothic"/>
          <w:b/>
          <w:bCs/>
          <w:u w:val="single"/>
        </w:rPr>
      </w:pPr>
      <w:r w:rsidRPr="00C47BE5">
        <w:rPr>
          <w:rFonts w:ascii="Century Gothic" w:hAnsi="Century Gothic"/>
          <w:b/>
          <w:bCs/>
          <w:u w:val="single"/>
        </w:rPr>
        <w:t>Memoria del Concejal delegado de Hacienda</w:t>
      </w:r>
    </w:p>
    <w:p w14:paraId="0F398300" w14:textId="77777777" w:rsidR="00A45C6B" w:rsidRPr="00A45C6B" w:rsidRDefault="00A45C6B" w:rsidP="00A45C6B">
      <w:pPr>
        <w:pStyle w:val="Normal0"/>
        <w:ind w:firstLine="696"/>
        <w:jc w:val="both"/>
        <w:rPr>
          <w:rFonts w:ascii="Century Gothic" w:hAnsi="Century Gothic"/>
          <w:sz w:val="20"/>
          <w:szCs w:val="20"/>
          <w:lang w:val="x-none" w:eastAsia="x-none"/>
        </w:rPr>
      </w:pPr>
    </w:p>
    <w:p w14:paraId="2C633E1D" w14:textId="77777777" w:rsidR="00A45C6B" w:rsidRPr="00A45C6B" w:rsidRDefault="00A45C6B" w:rsidP="00A45C6B">
      <w:pPr>
        <w:pStyle w:val="Normal0"/>
        <w:ind w:firstLine="696"/>
        <w:jc w:val="both"/>
        <w:rPr>
          <w:rFonts w:ascii="Century Gothic" w:hAnsi="Century Gothic"/>
          <w:sz w:val="20"/>
          <w:szCs w:val="20"/>
          <w:lang w:val="x-none" w:eastAsia="x-none"/>
        </w:rPr>
      </w:pPr>
    </w:p>
    <w:p w14:paraId="139F5CFB" w14:textId="3734CE08" w:rsidR="00A45C6B" w:rsidRDefault="00A45C6B" w:rsidP="00A45C6B">
      <w:pPr>
        <w:pStyle w:val="Normal0"/>
        <w:widowControl w:val="0"/>
        <w:ind w:firstLine="708"/>
        <w:jc w:val="both"/>
        <w:rPr>
          <w:rFonts w:ascii="Century Gothic" w:hAnsi="Century Gothic"/>
          <w:bCs/>
          <w:sz w:val="20"/>
          <w:szCs w:val="20"/>
        </w:rPr>
      </w:pPr>
      <w:r w:rsidRPr="00A45C6B">
        <w:rPr>
          <w:rFonts w:ascii="Century Gothic" w:hAnsi="Century Gothic"/>
          <w:sz w:val="20"/>
          <w:szCs w:val="20"/>
        </w:rPr>
        <w:t xml:space="preserve">De conformidad con lo previsto en el artículo 133.1 de la Ley 39/2015, de 1 de octubre, del Procedimiento Administrativo Común de las Administraciones Públicas, con el objetivo de mejorar la participación de los ciudadanos en el procedimiento de elaboración de normas, con carácter previo a la </w:t>
      </w:r>
      <w:r w:rsidR="001B62CD">
        <w:rPr>
          <w:rFonts w:ascii="Century Gothic" w:hAnsi="Century Gothic"/>
          <w:sz w:val="20"/>
          <w:szCs w:val="20"/>
        </w:rPr>
        <w:t xml:space="preserve">modificación de la actual </w:t>
      </w:r>
      <w:r w:rsidR="001B62CD">
        <w:rPr>
          <w:rFonts w:ascii="Century Gothic" w:hAnsi="Century Gothic"/>
          <w:b/>
          <w:bCs/>
          <w:sz w:val="20"/>
          <w:szCs w:val="20"/>
        </w:rPr>
        <w:t xml:space="preserve">ORDENANZA FISCAL REGULADORA DE LA TASA POR LA </w:t>
      </w:r>
      <w:r w:rsidR="00446DFE">
        <w:rPr>
          <w:rFonts w:ascii="Century Gothic" w:hAnsi="Century Gothic"/>
          <w:b/>
          <w:bCs/>
          <w:sz w:val="20"/>
          <w:szCs w:val="20"/>
        </w:rPr>
        <w:t>REALIZACIÓN DE LA ACTIVIDAD ADMINISTRATIVA DE OTORGAMIENTO DE LICENCIAS URBANÍSTICAS</w:t>
      </w:r>
      <w:r w:rsidR="001B62CD">
        <w:rPr>
          <w:rFonts w:ascii="Century Gothic" w:hAnsi="Century Gothic"/>
          <w:b/>
          <w:bCs/>
          <w:sz w:val="20"/>
          <w:szCs w:val="20"/>
        </w:rPr>
        <w:t xml:space="preserve"> (BORM</w:t>
      </w:r>
      <w:r w:rsidR="00446DFE">
        <w:rPr>
          <w:rFonts w:ascii="Century Gothic" w:hAnsi="Century Gothic"/>
          <w:b/>
          <w:bCs/>
          <w:sz w:val="20"/>
          <w:szCs w:val="20"/>
        </w:rPr>
        <w:t xml:space="preserve"> 26/12/1989</w:t>
      </w:r>
      <w:r w:rsidR="001B62CD">
        <w:rPr>
          <w:rFonts w:ascii="Century Gothic" w:hAnsi="Century Gothic"/>
          <w:b/>
          <w:bCs/>
          <w:sz w:val="20"/>
          <w:szCs w:val="20"/>
        </w:rPr>
        <w:t>)</w:t>
      </w:r>
      <w:r w:rsidRPr="00A45C6B">
        <w:rPr>
          <w:rFonts w:ascii="Century Gothic" w:hAnsi="Century Gothic"/>
          <w:bCs/>
          <w:sz w:val="20"/>
          <w:szCs w:val="20"/>
          <w:lang w:val="es-ES_tradnl"/>
        </w:rPr>
        <w:t>,</w:t>
      </w:r>
      <w:r w:rsidRPr="00A45C6B">
        <w:rPr>
          <w:rFonts w:ascii="Century Gothic" w:hAnsi="Century Gothic"/>
          <w:bCs/>
          <w:iCs/>
          <w:sz w:val="20"/>
          <w:szCs w:val="20"/>
          <w:lang w:val="es-ES_tradnl"/>
        </w:rPr>
        <w:t xml:space="preserve"> </w:t>
      </w:r>
      <w:r w:rsidRPr="00A45C6B">
        <w:rPr>
          <w:rFonts w:ascii="Century Gothic" w:hAnsi="Century Gothic"/>
          <w:bCs/>
          <w:sz w:val="20"/>
          <w:szCs w:val="20"/>
        </w:rPr>
        <w:t>se recaba la opinión de los sujetos y de las organizaciones más representativas potencialmente afectados por la futura norma</w:t>
      </w:r>
      <w:r>
        <w:rPr>
          <w:rFonts w:ascii="Century Gothic" w:hAnsi="Century Gothic"/>
          <w:bCs/>
          <w:sz w:val="20"/>
          <w:szCs w:val="20"/>
        </w:rPr>
        <w:t>.</w:t>
      </w:r>
    </w:p>
    <w:p w14:paraId="7FAB932A" w14:textId="6BB28C65" w:rsidR="00A45C6B" w:rsidRDefault="00A45C6B" w:rsidP="00A45C6B">
      <w:pPr>
        <w:pStyle w:val="Normal0"/>
        <w:widowControl w:val="0"/>
        <w:ind w:firstLine="708"/>
        <w:jc w:val="both"/>
        <w:rPr>
          <w:rFonts w:ascii="Century Gothic" w:hAnsi="Century Gothic"/>
          <w:sz w:val="20"/>
          <w:szCs w:val="20"/>
        </w:rPr>
      </w:pPr>
    </w:p>
    <w:p w14:paraId="3BC0F408" w14:textId="04775EC8" w:rsidR="001B62CD" w:rsidRDefault="001B62CD" w:rsidP="00A45C6B">
      <w:pPr>
        <w:pStyle w:val="Normal0"/>
        <w:widowControl w:val="0"/>
        <w:ind w:firstLine="708"/>
        <w:jc w:val="both"/>
        <w:rPr>
          <w:rFonts w:ascii="Century Gothic" w:hAnsi="Century Gothic"/>
          <w:sz w:val="20"/>
          <w:szCs w:val="20"/>
        </w:rPr>
      </w:pPr>
      <w:r>
        <w:rPr>
          <w:rFonts w:ascii="Century Gothic" w:hAnsi="Century Gothic"/>
          <w:sz w:val="20"/>
          <w:szCs w:val="20"/>
        </w:rPr>
        <w:t>Si bien exige la normativa, al objeto de permitir una mayor participación ciudadana y la configuración de esta forma de una Administración mucho más transparente, que este anuncio web y plazo para recabar la opinión de la ciudadanía se realice de forma obligatoria únicamente ante ordenanzas de nueva creación conforme especifica la norma citada anteriormente, con la intención de acercar la actividad administrativa a la ciudadanía de San Javier, se procederá a la realización del mismo trámite en esta modificación del texto normativo citado anteriormente.</w:t>
      </w:r>
    </w:p>
    <w:p w14:paraId="20802360" w14:textId="62C5933B" w:rsidR="001B62CD" w:rsidRDefault="001B62CD" w:rsidP="00A45C6B">
      <w:pPr>
        <w:pStyle w:val="Normal0"/>
        <w:widowControl w:val="0"/>
        <w:ind w:firstLine="708"/>
        <w:jc w:val="both"/>
        <w:rPr>
          <w:rFonts w:ascii="Century Gothic" w:hAnsi="Century Gothic"/>
          <w:sz w:val="20"/>
          <w:szCs w:val="20"/>
        </w:rPr>
      </w:pPr>
    </w:p>
    <w:p w14:paraId="218FF384" w14:textId="77777777" w:rsidR="00D441B9" w:rsidRDefault="00D441B9" w:rsidP="00D441B9">
      <w:pPr>
        <w:pStyle w:val="Normal0"/>
        <w:widowControl w:val="0"/>
        <w:ind w:firstLine="708"/>
        <w:jc w:val="both"/>
        <w:rPr>
          <w:rFonts w:ascii="Century Gothic" w:hAnsi="Century Gothic"/>
          <w:sz w:val="20"/>
          <w:szCs w:val="20"/>
        </w:rPr>
      </w:pPr>
      <w:r>
        <w:rPr>
          <w:rFonts w:ascii="Century Gothic" w:hAnsi="Century Gothic"/>
          <w:sz w:val="20"/>
          <w:szCs w:val="20"/>
        </w:rPr>
        <w:t>En este sentido, y con el objetivo de garantizar la participación de los ciudadanos en el procedimiento de elaboración de normas con rango reglamentario, y en cumplimiento de lo dispuesto en el artículo 133 de la Ley 39/2015, de 1 de octubre, del procedimiento administrativo común de las administraciones públicas, con carácter previo a la modificación de la Ordenanza, se sustancia una consulta pública previa para recabar la opinión de los ciudadanos y de las organizaciones más representativas que potencialmente se puedan ver afectados por la misma, sobre una serie de aspectos como son los problemas que se pretenden solucionar con la iniciativa, la necesidad y oportunidad de su modificación, los objetivos de la norma y las posibles soluciones alternativas regulatorias y no regulatorias.</w:t>
      </w:r>
    </w:p>
    <w:p w14:paraId="2A7DE4BF" w14:textId="77777777" w:rsidR="00D441B9" w:rsidRDefault="00D441B9" w:rsidP="00D441B9">
      <w:pPr>
        <w:pStyle w:val="Normal0"/>
        <w:widowControl w:val="0"/>
        <w:ind w:firstLine="708"/>
        <w:jc w:val="both"/>
        <w:rPr>
          <w:rFonts w:ascii="Century Gothic" w:hAnsi="Century Gothic"/>
          <w:sz w:val="20"/>
          <w:szCs w:val="20"/>
        </w:rPr>
      </w:pPr>
    </w:p>
    <w:p w14:paraId="3ABD4C67" w14:textId="77777777" w:rsidR="00D441B9" w:rsidRDefault="00D441B9" w:rsidP="00D441B9">
      <w:pPr>
        <w:pStyle w:val="Normal0"/>
        <w:widowControl w:val="0"/>
        <w:ind w:firstLine="708"/>
        <w:jc w:val="both"/>
        <w:rPr>
          <w:rFonts w:ascii="Century Gothic" w:hAnsi="Century Gothic"/>
          <w:sz w:val="20"/>
          <w:szCs w:val="20"/>
        </w:rPr>
      </w:pPr>
      <w:r>
        <w:rPr>
          <w:rFonts w:ascii="Century Gothic" w:hAnsi="Century Gothic"/>
          <w:sz w:val="20"/>
          <w:szCs w:val="20"/>
        </w:rPr>
        <w:t>Procede, por tanto, someter a consulta pública durante un plazo de veinte días previo a la elaboración de la modificación de la Ordenanza citada anteriormente, la siguiente,</w:t>
      </w:r>
    </w:p>
    <w:p w14:paraId="0B28DD2B" w14:textId="77777777" w:rsidR="00D441B9" w:rsidRDefault="00D441B9" w:rsidP="00D441B9">
      <w:pPr>
        <w:pStyle w:val="Normal0"/>
        <w:widowControl w:val="0"/>
        <w:ind w:firstLine="708"/>
        <w:jc w:val="both"/>
        <w:rPr>
          <w:rFonts w:ascii="Century Gothic" w:hAnsi="Century Gothic"/>
          <w:sz w:val="20"/>
          <w:szCs w:val="20"/>
        </w:rPr>
      </w:pPr>
    </w:p>
    <w:p w14:paraId="39B9749E" w14:textId="77777777" w:rsidR="00D441B9" w:rsidRPr="00B82F84" w:rsidRDefault="00D441B9" w:rsidP="00D441B9">
      <w:pPr>
        <w:pStyle w:val="Normal0"/>
        <w:widowControl w:val="0"/>
        <w:jc w:val="center"/>
        <w:rPr>
          <w:rFonts w:ascii="Century Gothic" w:hAnsi="Century Gothic"/>
          <w:b/>
          <w:bCs/>
          <w:sz w:val="20"/>
          <w:szCs w:val="20"/>
        </w:rPr>
      </w:pPr>
      <w:r>
        <w:rPr>
          <w:rFonts w:ascii="Century Gothic" w:hAnsi="Century Gothic"/>
          <w:b/>
          <w:bCs/>
          <w:sz w:val="20"/>
          <w:szCs w:val="20"/>
        </w:rPr>
        <w:t>MEMORIA</w:t>
      </w:r>
    </w:p>
    <w:p w14:paraId="1ABB9B81" w14:textId="77777777" w:rsidR="00D441B9" w:rsidRDefault="00D441B9" w:rsidP="00D441B9">
      <w:pPr>
        <w:pStyle w:val="Normal0"/>
        <w:widowControl w:val="0"/>
        <w:ind w:firstLine="708"/>
        <w:jc w:val="both"/>
        <w:rPr>
          <w:rFonts w:ascii="Century Gothic" w:hAnsi="Century Gothic"/>
          <w:sz w:val="20"/>
          <w:szCs w:val="20"/>
        </w:rPr>
      </w:pPr>
    </w:p>
    <w:p w14:paraId="2A496FFE" w14:textId="77777777" w:rsidR="00D441B9" w:rsidRDefault="00D441B9" w:rsidP="00D441B9">
      <w:pPr>
        <w:pStyle w:val="Normal0"/>
        <w:widowControl w:val="0"/>
        <w:numPr>
          <w:ilvl w:val="0"/>
          <w:numId w:val="3"/>
        </w:numPr>
        <w:jc w:val="both"/>
        <w:rPr>
          <w:rFonts w:ascii="Century Gothic" w:hAnsi="Century Gothic"/>
          <w:b/>
          <w:bCs/>
          <w:sz w:val="20"/>
          <w:szCs w:val="20"/>
        </w:rPr>
      </w:pPr>
      <w:r>
        <w:rPr>
          <w:rFonts w:ascii="Century Gothic" w:hAnsi="Century Gothic"/>
          <w:b/>
          <w:bCs/>
          <w:sz w:val="20"/>
          <w:szCs w:val="20"/>
        </w:rPr>
        <w:t>Antecedentes.</w:t>
      </w:r>
    </w:p>
    <w:p w14:paraId="5E5A2BBA" w14:textId="77777777" w:rsidR="00D441B9" w:rsidRPr="0081044A" w:rsidRDefault="00D441B9" w:rsidP="00D441B9">
      <w:pPr>
        <w:pStyle w:val="Normal0"/>
        <w:widowControl w:val="0"/>
        <w:ind w:left="720"/>
        <w:jc w:val="both"/>
        <w:rPr>
          <w:rFonts w:ascii="Century Gothic" w:hAnsi="Century Gothic"/>
          <w:sz w:val="20"/>
          <w:szCs w:val="20"/>
        </w:rPr>
      </w:pPr>
    </w:p>
    <w:p w14:paraId="444C7136" w14:textId="77777777" w:rsidR="00D441B9" w:rsidRDefault="00D441B9" w:rsidP="00D441B9">
      <w:pPr>
        <w:pStyle w:val="Normal0"/>
        <w:widowControl w:val="0"/>
        <w:ind w:firstLine="708"/>
        <w:jc w:val="both"/>
        <w:rPr>
          <w:rFonts w:ascii="Century Gothic" w:hAnsi="Century Gothic"/>
          <w:sz w:val="20"/>
          <w:szCs w:val="20"/>
        </w:rPr>
      </w:pPr>
      <w:r>
        <w:rPr>
          <w:rFonts w:ascii="Century Gothic" w:hAnsi="Century Gothic"/>
          <w:sz w:val="20"/>
          <w:szCs w:val="20"/>
        </w:rPr>
        <w:t>La ordenanza se enmarca dentro de la potestad financiera y tributaria que, para las Entidades Locales, contempla el artículo 4.1.b) de la Ley 7/1985, de 2 de abril, reguladora de las Bases del Régimen Local.</w:t>
      </w:r>
    </w:p>
    <w:p w14:paraId="439FFB02" w14:textId="77777777" w:rsidR="00D441B9" w:rsidRPr="0081044A" w:rsidRDefault="00D441B9" w:rsidP="00D441B9">
      <w:pPr>
        <w:pStyle w:val="Normal0"/>
        <w:widowControl w:val="0"/>
        <w:ind w:firstLine="708"/>
        <w:jc w:val="both"/>
        <w:rPr>
          <w:rFonts w:ascii="Century Gothic" w:hAnsi="Century Gothic"/>
          <w:sz w:val="20"/>
          <w:szCs w:val="20"/>
        </w:rPr>
      </w:pPr>
    </w:p>
    <w:p w14:paraId="6B6D661F" w14:textId="77777777" w:rsidR="00D441B9" w:rsidRDefault="00D441B9" w:rsidP="00D441B9">
      <w:pPr>
        <w:pStyle w:val="Normal0"/>
        <w:widowControl w:val="0"/>
        <w:ind w:firstLine="708"/>
        <w:jc w:val="both"/>
        <w:rPr>
          <w:rFonts w:ascii="Century Gothic" w:hAnsi="Century Gothic"/>
          <w:sz w:val="20"/>
          <w:szCs w:val="20"/>
        </w:rPr>
      </w:pPr>
      <w:r>
        <w:rPr>
          <w:rFonts w:ascii="Century Gothic" w:hAnsi="Century Gothic"/>
          <w:sz w:val="20"/>
          <w:szCs w:val="20"/>
        </w:rPr>
        <w:t>El contenido de la Ordenanza se adecuará a los principios de buena regulación a los que se refiere el artículo 129 de la Ley 39/2015 anteriormente citada, esto es, principios de necesidad, eficacia, proporcionalidad, seguridad jurídica, transparencia y eficiencia. De este modo, la norma persigue un interés general al permitir asegurar el correcto funcionamiento de la administración local, dotándose este Ayuntamiento de los recursos adecuados tanto para el normal funcionamiento de los servicios de competencia municipal, como para el cumplimiento del resto de obligaciones que le son propias. La norma no conlleva la restricción de derechos de los particulares, establece las medidas imprescindibles para cumplir su objetivo y quedan justificados suficientemente los objetivos que persigue.</w:t>
      </w:r>
    </w:p>
    <w:p w14:paraId="5EF3B0C4" w14:textId="77777777" w:rsidR="00D441B9" w:rsidRDefault="00D441B9" w:rsidP="00D441B9">
      <w:pPr>
        <w:pStyle w:val="Normal0"/>
        <w:widowControl w:val="0"/>
        <w:ind w:firstLine="708"/>
        <w:jc w:val="both"/>
        <w:rPr>
          <w:rFonts w:ascii="Century Gothic" w:hAnsi="Century Gothic"/>
          <w:sz w:val="20"/>
          <w:szCs w:val="20"/>
        </w:rPr>
      </w:pPr>
    </w:p>
    <w:p w14:paraId="45D132A2" w14:textId="77777777" w:rsidR="00D441B9" w:rsidRPr="0081044A" w:rsidRDefault="00D441B9" w:rsidP="00D441B9">
      <w:pPr>
        <w:pStyle w:val="Normal0"/>
        <w:widowControl w:val="0"/>
        <w:numPr>
          <w:ilvl w:val="0"/>
          <w:numId w:val="3"/>
        </w:numPr>
        <w:jc w:val="both"/>
        <w:rPr>
          <w:rFonts w:ascii="Century Gothic" w:hAnsi="Century Gothic"/>
          <w:b/>
          <w:bCs/>
          <w:sz w:val="20"/>
          <w:szCs w:val="20"/>
        </w:rPr>
      </w:pPr>
      <w:r>
        <w:rPr>
          <w:rFonts w:ascii="Century Gothic" w:hAnsi="Century Gothic"/>
          <w:b/>
          <w:bCs/>
          <w:sz w:val="20"/>
          <w:szCs w:val="20"/>
        </w:rPr>
        <w:t>Los problemas que se pretenden solucionar con la iniciativa y objetivos.</w:t>
      </w:r>
    </w:p>
    <w:p w14:paraId="6FF083FA" w14:textId="79040FD1" w:rsidR="006178DD" w:rsidRDefault="006178DD" w:rsidP="00A45C6B">
      <w:pPr>
        <w:pStyle w:val="Normal0"/>
        <w:widowControl w:val="0"/>
        <w:ind w:firstLine="708"/>
        <w:jc w:val="both"/>
        <w:rPr>
          <w:rFonts w:ascii="Century Gothic" w:hAnsi="Century Gothic"/>
          <w:sz w:val="20"/>
          <w:szCs w:val="20"/>
        </w:rPr>
      </w:pPr>
    </w:p>
    <w:p w14:paraId="3446A136" w14:textId="52EC8E31" w:rsidR="00336211" w:rsidRDefault="00D76929" w:rsidP="001B62CD">
      <w:pPr>
        <w:pStyle w:val="Normal0"/>
        <w:ind w:firstLine="708"/>
        <w:jc w:val="both"/>
        <w:rPr>
          <w:rFonts w:ascii="Century Gothic" w:hAnsi="Century Gothic"/>
          <w:iCs/>
          <w:sz w:val="20"/>
          <w:szCs w:val="20"/>
        </w:rPr>
      </w:pPr>
      <w:r>
        <w:rPr>
          <w:rFonts w:ascii="Century Gothic" w:hAnsi="Century Gothic"/>
          <w:iCs/>
          <w:sz w:val="20"/>
          <w:szCs w:val="20"/>
        </w:rPr>
        <w:lastRenderedPageBreak/>
        <w:t xml:space="preserve">Como ya se ha indicado </w:t>
      </w:r>
      <w:r>
        <w:rPr>
          <w:rFonts w:ascii="Century Gothic" w:hAnsi="Century Gothic"/>
          <w:iCs/>
          <w:sz w:val="20"/>
          <w:szCs w:val="20"/>
        </w:rPr>
        <w:t>anteriormente,</w:t>
      </w:r>
      <w:r>
        <w:rPr>
          <w:rFonts w:ascii="Century Gothic" w:hAnsi="Century Gothic"/>
          <w:iCs/>
          <w:sz w:val="20"/>
          <w:szCs w:val="20"/>
        </w:rPr>
        <w:t xml:space="preserve"> el Ayuntamiento de San javier cuenta con la Ordenanza Fiscal reguladora de la tasa por la realización de la actividad administrativa de otorgamiento de licencias urbanísticas,</w:t>
      </w:r>
      <w:r>
        <w:rPr>
          <w:rFonts w:ascii="Century Gothic" w:hAnsi="Century Gothic"/>
          <w:iCs/>
          <w:sz w:val="20"/>
          <w:szCs w:val="20"/>
        </w:rPr>
        <w:t xml:space="preserve"> y ello al amparo de lo establecido en el artículo 57 del Real Decreto Legislativo 2/2004 por el que se aprueba el texto refundido de la Ley Reguladora de las Haciendas Locales al indicar que </w:t>
      </w:r>
      <w:r>
        <w:rPr>
          <w:rFonts w:ascii="Century Gothic" w:hAnsi="Century Gothic"/>
          <w:i/>
          <w:sz w:val="20"/>
          <w:szCs w:val="20"/>
        </w:rPr>
        <w:t>“Los ayuntamientos podrán establecer y exigir tasas por la prestación de servicios o la realización de actividades de su competencia y por la utilización previa o el aprovechamiento especial de los bienes de dominio público municipal, según las normas contenidas en la sección 3ª del capítulo III del título I de esta ley”</w:t>
      </w:r>
      <w:r>
        <w:rPr>
          <w:rFonts w:ascii="Century Gothic" w:hAnsi="Century Gothic"/>
          <w:i/>
          <w:sz w:val="20"/>
          <w:szCs w:val="20"/>
        </w:rPr>
        <w:t>.</w:t>
      </w:r>
      <w:r>
        <w:rPr>
          <w:rFonts w:ascii="Century Gothic" w:hAnsi="Century Gothic"/>
          <w:iCs/>
          <w:sz w:val="20"/>
          <w:szCs w:val="20"/>
        </w:rPr>
        <w:t xml:space="preserve"> Ordenanza Fiscal</w:t>
      </w:r>
      <w:r>
        <w:rPr>
          <w:rFonts w:ascii="Century Gothic" w:hAnsi="Century Gothic"/>
          <w:i/>
          <w:sz w:val="20"/>
          <w:szCs w:val="20"/>
        </w:rPr>
        <w:t xml:space="preserve"> </w:t>
      </w:r>
      <w:r w:rsidR="00446DFE">
        <w:rPr>
          <w:rFonts w:ascii="Century Gothic" w:hAnsi="Century Gothic"/>
          <w:iCs/>
          <w:sz w:val="20"/>
          <w:szCs w:val="20"/>
        </w:rPr>
        <w:t xml:space="preserve">que ha sufrido numerosas actualizaciones durante el transcurso del tiempo, </w:t>
      </w:r>
      <w:r>
        <w:rPr>
          <w:rFonts w:ascii="Century Gothic" w:hAnsi="Century Gothic"/>
          <w:iCs/>
          <w:sz w:val="20"/>
          <w:szCs w:val="20"/>
        </w:rPr>
        <w:t xml:space="preserve">y que </w:t>
      </w:r>
      <w:r w:rsidR="001B62CD">
        <w:rPr>
          <w:rFonts w:ascii="Century Gothic" w:hAnsi="Century Gothic"/>
          <w:iCs/>
          <w:sz w:val="20"/>
          <w:szCs w:val="20"/>
        </w:rPr>
        <w:t>c</w:t>
      </w:r>
      <w:r w:rsidR="006178DD" w:rsidRPr="006178DD">
        <w:rPr>
          <w:rFonts w:ascii="Century Gothic" w:hAnsi="Century Gothic"/>
          <w:iCs/>
          <w:sz w:val="20"/>
          <w:szCs w:val="20"/>
        </w:rPr>
        <w:t xml:space="preserve">on </w:t>
      </w:r>
      <w:r>
        <w:rPr>
          <w:rFonts w:ascii="Century Gothic" w:hAnsi="Century Gothic"/>
          <w:iCs/>
          <w:sz w:val="20"/>
          <w:szCs w:val="20"/>
        </w:rPr>
        <w:t>su</w:t>
      </w:r>
      <w:r w:rsidR="006178DD" w:rsidRPr="006178DD">
        <w:rPr>
          <w:rFonts w:ascii="Century Gothic" w:hAnsi="Century Gothic"/>
          <w:iCs/>
          <w:sz w:val="20"/>
          <w:szCs w:val="20"/>
        </w:rPr>
        <w:t xml:space="preserve"> </w:t>
      </w:r>
      <w:r w:rsidR="001B62CD">
        <w:rPr>
          <w:rFonts w:ascii="Century Gothic" w:hAnsi="Century Gothic"/>
          <w:iCs/>
          <w:sz w:val="20"/>
          <w:szCs w:val="20"/>
        </w:rPr>
        <w:t>modificación</w:t>
      </w:r>
      <w:r w:rsidR="006178DD" w:rsidRPr="006178DD">
        <w:rPr>
          <w:rFonts w:ascii="Century Gothic" w:hAnsi="Century Gothic"/>
          <w:iCs/>
          <w:sz w:val="20"/>
          <w:szCs w:val="20"/>
        </w:rPr>
        <w:t xml:space="preserve"> se pretende </w:t>
      </w:r>
      <w:r w:rsidR="001B62CD">
        <w:rPr>
          <w:rFonts w:ascii="Century Gothic" w:hAnsi="Century Gothic"/>
          <w:iCs/>
          <w:sz w:val="20"/>
          <w:szCs w:val="20"/>
        </w:rPr>
        <w:t xml:space="preserve">la actualización de </w:t>
      </w:r>
      <w:r w:rsidR="00446DFE">
        <w:rPr>
          <w:rFonts w:ascii="Century Gothic" w:hAnsi="Century Gothic"/>
          <w:iCs/>
          <w:sz w:val="20"/>
          <w:szCs w:val="20"/>
        </w:rPr>
        <w:t>los conceptos tributarios en ella regulados, a fin de adecuar estos a la actual Ley 13/2015, de 30 de marzo, de Ordenación Territorial y Urbanística de la Región de Murcia</w:t>
      </w:r>
      <w:r w:rsidR="00336211">
        <w:rPr>
          <w:rFonts w:ascii="Century Gothic" w:hAnsi="Century Gothic"/>
          <w:iCs/>
          <w:sz w:val="20"/>
          <w:szCs w:val="20"/>
        </w:rPr>
        <w:t>.</w:t>
      </w:r>
    </w:p>
    <w:p w14:paraId="4200C5F6" w14:textId="77777777" w:rsidR="006178DD" w:rsidRPr="006178DD" w:rsidRDefault="006178DD" w:rsidP="006178DD">
      <w:pPr>
        <w:pStyle w:val="Normal0"/>
        <w:jc w:val="both"/>
        <w:rPr>
          <w:rFonts w:ascii="Century Gothic" w:hAnsi="Century Gothic"/>
          <w:iCs/>
          <w:sz w:val="20"/>
          <w:szCs w:val="20"/>
        </w:rPr>
      </w:pPr>
    </w:p>
    <w:p w14:paraId="32B744C3" w14:textId="679E411F" w:rsidR="006178DD" w:rsidRPr="006178DD" w:rsidRDefault="006178DD" w:rsidP="00440917">
      <w:pPr>
        <w:pStyle w:val="Normal0"/>
        <w:ind w:firstLine="708"/>
        <w:jc w:val="both"/>
        <w:rPr>
          <w:rFonts w:ascii="Century Gothic" w:hAnsi="Century Gothic"/>
          <w:iCs/>
          <w:sz w:val="20"/>
          <w:szCs w:val="20"/>
        </w:rPr>
      </w:pPr>
      <w:r w:rsidRPr="006178DD">
        <w:rPr>
          <w:rFonts w:ascii="Century Gothic" w:hAnsi="Century Gothic"/>
          <w:iCs/>
          <w:sz w:val="20"/>
          <w:szCs w:val="20"/>
        </w:rPr>
        <w:t xml:space="preserve">En concreto, dentro de los márgenes previstos en la norma, </w:t>
      </w:r>
      <w:r w:rsidR="00336211">
        <w:rPr>
          <w:rFonts w:ascii="Century Gothic" w:hAnsi="Century Gothic"/>
          <w:iCs/>
          <w:sz w:val="20"/>
          <w:szCs w:val="20"/>
        </w:rPr>
        <w:t>se pretende</w:t>
      </w:r>
      <w:r w:rsidRPr="006178DD">
        <w:rPr>
          <w:rFonts w:ascii="Century Gothic" w:hAnsi="Century Gothic"/>
          <w:iCs/>
          <w:sz w:val="20"/>
          <w:szCs w:val="20"/>
        </w:rPr>
        <w:t>:</w:t>
      </w:r>
    </w:p>
    <w:p w14:paraId="3BD5B0E0" w14:textId="77777777" w:rsidR="006178DD" w:rsidRPr="006178DD" w:rsidRDefault="006178DD" w:rsidP="006178DD">
      <w:pPr>
        <w:pStyle w:val="Normal0"/>
        <w:jc w:val="both"/>
        <w:rPr>
          <w:rFonts w:ascii="Century Gothic" w:hAnsi="Century Gothic"/>
          <w:iCs/>
          <w:sz w:val="20"/>
          <w:szCs w:val="20"/>
        </w:rPr>
      </w:pPr>
    </w:p>
    <w:p w14:paraId="0FEF5885" w14:textId="5EC18EB4" w:rsidR="006178DD" w:rsidRPr="006178DD" w:rsidRDefault="00336211" w:rsidP="006178DD">
      <w:pPr>
        <w:pStyle w:val="Normal0"/>
        <w:numPr>
          <w:ilvl w:val="0"/>
          <w:numId w:val="2"/>
        </w:numPr>
        <w:jc w:val="both"/>
        <w:rPr>
          <w:rFonts w:ascii="Century Gothic" w:hAnsi="Century Gothic"/>
          <w:iCs/>
          <w:sz w:val="20"/>
          <w:szCs w:val="20"/>
        </w:rPr>
      </w:pPr>
      <w:r>
        <w:rPr>
          <w:rFonts w:ascii="Century Gothic" w:hAnsi="Century Gothic"/>
          <w:iCs/>
          <w:sz w:val="20"/>
          <w:szCs w:val="20"/>
        </w:rPr>
        <w:t xml:space="preserve">Actualizar el texto normativo de una Ordenanza Fiscal </w:t>
      </w:r>
      <w:r w:rsidR="00440917">
        <w:rPr>
          <w:rFonts w:ascii="Century Gothic" w:hAnsi="Century Gothic"/>
          <w:iCs/>
          <w:sz w:val="20"/>
          <w:szCs w:val="20"/>
        </w:rPr>
        <w:t xml:space="preserve">aprobada originariamente en </w:t>
      </w:r>
      <w:r w:rsidR="00446DFE">
        <w:rPr>
          <w:rFonts w:ascii="Century Gothic" w:hAnsi="Century Gothic"/>
          <w:iCs/>
          <w:sz w:val="20"/>
          <w:szCs w:val="20"/>
        </w:rPr>
        <w:t>1989</w:t>
      </w:r>
      <w:r w:rsidR="006178DD" w:rsidRPr="006178DD">
        <w:rPr>
          <w:rFonts w:ascii="Century Gothic" w:hAnsi="Century Gothic"/>
          <w:iCs/>
          <w:sz w:val="20"/>
          <w:szCs w:val="20"/>
        </w:rPr>
        <w:t>.</w:t>
      </w:r>
    </w:p>
    <w:p w14:paraId="6C23A34E" w14:textId="77777777" w:rsidR="006178DD" w:rsidRPr="006178DD" w:rsidRDefault="006178DD" w:rsidP="006178DD">
      <w:pPr>
        <w:pStyle w:val="Normal0"/>
        <w:ind w:left="720"/>
        <w:jc w:val="both"/>
        <w:rPr>
          <w:rFonts w:ascii="Century Gothic" w:hAnsi="Century Gothic"/>
          <w:iCs/>
          <w:sz w:val="20"/>
          <w:szCs w:val="20"/>
        </w:rPr>
      </w:pPr>
    </w:p>
    <w:p w14:paraId="2E3CE1FF" w14:textId="02C2D94B" w:rsidR="006178DD" w:rsidRDefault="00446DFE" w:rsidP="006178DD">
      <w:pPr>
        <w:pStyle w:val="Normal0"/>
        <w:numPr>
          <w:ilvl w:val="0"/>
          <w:numId w:val="2"/>
        </w:numPr>
        <w:jc w:val="both"/>
        <w:rPr>
          <w:rFonts w:ascii="Century Gothic" w:hAnsi="Century Gothic"/>
          <w:iCs/>
          <w:sz w:val="20"/>
          <w:szCs w:val="20"/>
        </w:rPr>
      </w:pPr>
      <w:r>
        <w:rPr>
          <w:rFonts w:ascii="Century Gothic" w:hAnsi="Century Gothic"/>
          <w:iCs/>
          <w:sz w:val="20"/>
          <w:szCs w:val="20"/>
        </w:rPr>
        <w:t>Adecuación de los hechos imponibles a la realidad actual conforme la ley 13/2015</w:t>
      </w:r>
      <w:r w:rsidR="006178DD" w:rsidRPr="006178DD">
        <w:rPr>
          <w:rFonts w:ascii="Century Gothic" w:hAnsi="Century Gothic"/>
          <w:iCs/>
          <w:sz w:val="20"/>
          <w:szCs w:val="20"/>
        </w:rPr>
        <w:t>.</w:t>
      </w:r>
    </w:p>
    <w:p w14:paraId="6B111CBF" w14:textId="77777777" w:rsidR="00446DFE" w:rsidRDefault="00446DFE" w:rsidP="00446DFE">
      <w:pPr>
        <w:pStyle w:val="Prrafodelista"/>
        <w:rPr>
          <w:rFonts w:ascii="Century Gothic" w:hAnsi="Century Gothic"/>
          <w:iCs/>
          <w:sz w:val="20"/>
          <w:szCs w:val="20"/>
        </w:rPr>
      </w:pPr>
    </w:p>
    <w:p w14:paraId="70B6B472" w14:textId="1FFEB681" w:rsidR="006178DD" w:rsidRPr="006178DD" w:rsidRDefault="00446DFE" w:rsidP="00446DFE">
      <w:pPr>
        <w:pStyle w:val="Prrafodelista"/>
        <w:numPr>
          <w:ilvl w:val="0"/>
          <w:numId w:val="2"/>
        </w:numPr>
        <w:rPr>
          <w:rFonts w:ascii="Century Gothic" w:hAnsi="Century Gothic"/>
          <w:iCs/>
          <w:sz w:val="20"/>
          <w:szCs w:val="20"/>
        </w:rPr>
      </w:pPr>
      <w:r>
        <w:rPr>
          <w:rFonts w:ascii="Century Gothic" w:hAnsi="Century Gothic"/>
          <w:iCs/>
          <w:sz w:val="20"/>
          <w:szCs w:val="20"/>
        </w:rPr>
        <w:t>Adecuar las tarifas al coste del servicio prestado.</w:t>
      </w:r>
    </w:p>
    <w:p w14:paraId="487D8208" w14:textId="01D79D82" w:rsidR="00A45C6B" w:rsidRDefault="00A45C6B" w:rsidP="006178DD">
      <w:pPr>
        <w:pStyle w:val="Normal0"/>
        <w:rPr>
          <w:rFonts w:ascii="Century Gothic" w:hAnsi="Century Gothic"/>
          <w:iCs/>
          <w:sz w:val="20"/>
          <w:szCs w:val="20"/>
        </w:rPr>
      </w:pPr>
    </w:p>
    <w:p w14:paraId="00614BC2" w14:textId="77777777" w:rsidR="00D441B9" w:rsidRPr="00C239F5" w:rsidRDefault="00D441B9" w:rsidP="00D441B9">
      <w:pPr>
        <w:pStyle w:val="Normal0"/>
        <w:numPr>
          <w:ilvl w:val="0"/>
          <w:numId w:val="3"/>
        </w:numPr>
        <w:jc w:val="both"/>
        <w:rPr>
          <w:rFonts w:ascii="Century Gothic" w:hAnsi="Century Gothic"/>
          <w:b/>
          <w:bCs/>
          <w:iCs/>
          <w:sz w:val="20"/>
          <w:szCs w:val="20"/>
        </w:rPr>
      </w:pPr>
      <w:r>
        <w:rPr>
          <w:rFonts w:ascii="Century Gothic" w:hAnsi="Century Gothic"/>
          <w:b/>
          <w:bCs/>
          <w:iCs/>
          <w:sz w:val="20"/>
          <w:szCs w:val="20"/>
        </w:rPr>
        <w:t>Publicación.</w:t>
      </w:r>
    </w:p>
    <w:p w14:paraId="2FA41104" w14:textId="77777777" w:rsidR="00D441B9" w:rsidRDefault="00D441B9" w:rsidP="00D441B9">
      <w:pPr>
        <w:pStyle w:val="Normal0"/>
        <w:jc w:val="both"/>
        <w:rPr>
          <w:rFonts w:ascii="Century Gothic" w:hAnsi="Century Gothic"/>
          <w:iCs/>
          <w:sz w:val="20"/>
          <w:szCs w:val="20"/>
        </w:rPr>
      </w:pPr>
    </w:p>
    <w:p w14:paraId="442DA17E" w14:textId="77777777" w:rsidR="00D441B9" w:rsidRDefault="00D441B9" w:rsidP="00440917">
      <w:pPr>
        <w:pStyle w:val="Normal0"/>
        <w:widowControl w:val="0"/>
        <w:ind w:firstLine="708"/>
        <w:jc w:val="both"/>
        <w:rPr>
          <w:rFonts w:ascii="Century Gothic" w:hAnsi="Century Gothic"/>
          <w:iCs/>
          <w:sz w:val="20"/>
          <w:szCs w:val="20"/>
        </w:rPr>
      </w:pPr>
      <w:r>
        <w:rPr>
          <w:rFonts w:ascii="Century Gothic" w:hAnsi="Century Gothic"/>
          <w:iCs/>
          <w:sz w:val="20"/>
          <w:szCs w:val="20"/>
        </w:rPr>
        <w:t xml:space="preserve">Procede </w:t>
      </w:r>
      <w:r w:rsidRPr="00440917">
        <w:rPr>
          <w:rFonts w:ascii="Century Gothic" w:hAnsi="Century Gothic"/>
          <w:sz w:val="20"/>
          <w:szCs w:val="20"/>
        </w:rPr>
        <w:t>publicar</w:t>
      </w:r>
      <w:r>
        <w:rPr>
          <w:rFonts w:ascii="Century Gothic" w:hAnsi="Century Gothic"/>
          <w:iCs/>
          <w:sz w:val="20"/>
          <w:szCs w:val="20"/>
        </w:rPr>
        <w:t xml:space="preserve"> la presente consulta en el tablón de anuncios de este Ayuntamiento y en su sitio web para que los ciudadanos, organizaciones y asociaciones que lo consideren oportuno puedan hacer llegar sus opiniones al respecto a través del siguiente buzón de correo electrónico: </w:t>
      </w:r>
      <w:r w:rsidRPr="00C239F5">
        <w:rPr>
          <w:rFonts w:ascii="Century Gothic" w:hAnsi="Century Gothic"/>
          <w:iCs/>
          <w:sz w:val="20"/>
          <w:szCs w:val="20"/>
          <w:highlight w:val="yellow"/>
        </w:rPr>
        <w:t>_________________</w:t>
      </w:r>
    </w:p>
    <w:p w14:paraId="25993B3D" w14:textId="77777777" w:rsidR="00D441B9" w:rsidRDefault="00D441B9" w:rsidP="00D441B9">
      <w:pPr>
        <w:pStyle w:val="Normal0"/>
        <w:ind w:firstLine="360"/>
        <w:jc w:val="both"/>
        <w:rPr>
          <w:rFonts w:ascii="Century Gothic" w:hAnsi="Century Gothic"/>
          <w:iCs/>
          <w:sz w:val="20"/>
          <w:szCs w:val="20"/>
        </w:rPr>
      </w:pPr>
    </w:p>
    <w:p w14:paraId="47C23468" w14:textId="77777777" w:rsidR="00D441B9" w:rsidRDefault="00D441B9" w:rsidP="006178DD">
      <w:pPr>
        <w:pStyle w:val="Normal0"/>
        <w:rPr>
          <w:rFonts w:ascii="Century Gothic" w:hAnsi="Century Gothic"/>
          <w:iCs/>
          <w:sz w:val="20"/>
          <w:szCs w:val="20"/>
        </w:rPr>
      </w:pPr>
    </w:p>
    <w:sectPr w:rsidR="00D441B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3A0889" w14:textId="77777777" w:rsidR="00260CEA" w:rsidRDefault="00260CEA" w:rsidP="00A45C6B">
      <w:r>
        <w:separator/>
      </w:r>
    </w:p>
  </w:endnote>
  <w:endnote w:type="continuationSeparator" w:id="0">
    <w:p w14:paraId="37AD5F2D" w14:textId="77777777" w:rsidR="00260CEA" w:rsidRDefault="00260CEA" w:rsidP="00A4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56E7F" w14:textId="77777777" w:rsidR="00260CEA" w:rsidRDefault="00260CEA" w:rsidP="00A45C6B">
      <w:r>
        <w:separator/>
      </w:r>
    </w:p>
  </w:footnote>
  <w:footnote w:type="continuationSeparator" w:id="0">
    <w:p w14:paraId="55A1B336" w14:textId="77777777" w:rsidR="00260CEA" w:rsidRDefault="00260CEA" w:rsidP="00A45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B0F4F"/>
    <w:multiLevelType w:val="hybridMultilevel"/>
    <w:tmpl w:val="3B90586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0B85AFF"/>
    <w:multiLevelType w:val="hybridMultilevel"/>
    <w:tmpl w:val="4E126222"/>
    <w:lvl w:ilvl="0" w:tplc="06DC7386">
      <w:start w:val="1"/>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C5F7D20"/>
    <w:multiLevelType w:val="hybridMultilevel"/>
    <w:tmpl w:val="4238B05A"/>
    <w:lvl w:ilvl="0" w:tplc="987AF51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6B"/>
    <w:rsid w:val="001B62CD"/>
    <w:rsid w:val="00260CEA"/>
    <w:rsid w:val="00336211"/>
    <w:rsid w:val="003645F1"/>
    <w:rsid w:val="00440917"/>
    <w:rsid w:val="00446DFE"/>
    <w:rsid w:val="004A1266"/>
    <w:rsid w:val="006178DD"/>
    <w:rsid w:val="006553EA"/>
    <w:rsid w:val="00A45C6B"/>
    <w:rsid w:val="00D441B9"/>
    <w:rsid w:val="00D76929"/>
    <w:rsid w:val="00E5274A"/>
    <w:rsid w:val="00EC5876"/>
    <w:rsid w:val="00F934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DE9D"/>
  <w15:chartTrackingRefBased/>
  <w15:docId w15:val="{2F2E7731-8A05-45F7-89EE-50572C2E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HAnsi" w:hAnsi="Century Gothic" w:cstheme="minorBidi"/>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C6B"/>
    <w:pPr>
      <w:jc w:val="left"/>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_0"/>
    <w:qFormat/>
    <w:rsid w:val="00A45C6B"/>
    <w:pPr>
      <w:jc w:val="left"/>
    </w:pPr>
    <w:rPr>
      <w:rFonts w:ascii="Times New Roman" w:eastAsia="Times New Roman" w:hAnsi="Times New Roman" w:cs="Times New Roman"/>
      <w:sz w:val="24"/>
      <w:szCs w:val="24"/>
      <w:lang w:eastAsia="es-ES"/>
    </w:rPr>
  </w:style>
  <w:style w:type="paragraph" w:styleId="Textonotapie">
    <w:name w:val="footnote text"/>
    <w:basedOn w:val="Normal0"/>
    <w:link w:val="TextonotapieCar"/>
    <w:rsid w:val="00A45C6B"/>
    <w:rPr>
      <w:sz w:val="20"/>
      <w:szCs w:val="20"/>
    </w:rPr>
  </w:style>
  <w:style w:type="character" w:customStyle="1" w:styleId="TextonotapieCar">
    <w:name w:val="Texto nota pie Car"/>
    <w:basedOn w:val="Fuentedeprrafopredeter"/>
    <w:link w:val="Textonotapie"/>
    <w:rsid w:val="00A45C6B"/>
    <w:rPr>
      <w:rFonts w:ascii="Times New Roman" w:eastAsia="Times New Roman" w:hAnsi="Times New Roman" w:cs="Times New Roman"/>
      <w:lang w:eastAsia="es-ES"/>
    </w:rPr>
  </w:style>
  <w:style w:type="paragraph" w:styleId="Textodeglobo">
    <w:name w:val="Balloon Text"/>
    <w:basedOn w:val="Normal"/>
    <w:link w:val="TextodegloboCar"/>
    <w:uiPriority w:val="99"/>
    <w:semiHidden/>
    <w:unhideWhenUsed/>
    <w:rsid w:val="00A45C6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5C6B"/>
    <w:rPr>
      <w:rFonts w:ascii="Segoe UI" w:eastAsia="Times New Roman" w:hAnsi="Segoe UI" w:cs="Segoe UI"/>
      <w:sz w:val="18"/>
      <w:szCs w:val="18"/>
      <w:lang w:eastAsia="es-ES"/>
    </w:rPr>
  </w:style>
  <w:style w:type="paragraph" w:styleId="Prrafodelista">
    <w:name w:val="List Paragraph"/>
    <w:basedOn w:val="Normal"/>
    <w:uiPriority w:val="34"/>
    <w:qFormat/>
    <w:rsid w:val="00A45C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760</Words>
  <Characters>4184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Najar Chavez</dc:creator>
  <cp:keywords/>
  <dc:description/>
  <cp:lastModifiedBy>Jose Najar Chavez</cp:lastModifiedBy>
  <cp:revision>8</cp:revision>
  <dcterms:created xsi:type="dcterms:W3CDTF">2020-06-11T05:41:00Z</dcterms:created>
  <dcterms:modified xsi:type="dcterms:W3CDTF">2020-11-30T06:56:00Z</dcterms:modified>
</cp:coreProperties>
</file>