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0" w:after="0"/>
        <w:ind w:left="0" w:firstLine="720"/>
        <w:jc w:val="center"/>
        <w:rPr>
          <w:rFonts w:ascii="Century Gothic" w:hAnsi="Century Gothic"/>
          <w:b/>
          <w:b/>
          <w:bCs/>
          <w:sz w:val="28"/>
          <w:szCs w:val="28"/>
        </w:rPr>
      </w:pPr>
      <w:r>
        <w:rPr>
          <w:rFonts w:ascii="Century Gothic" w:hAnsi="Century Gothic"/>
          <w:b/>
          <w:bCs/>
          <w:sz w:val="28"/>
          <w:szCs w:val="28"/>
        </w:rPr>
        <w:t>ORDENANZA FISCAL REGULADORA DEL IMPUESTO SOBRE ACTIVIDADES ECONÓMICAS</w:t>
      </w:r>
    </w:p>
    <w:p>
      <w:pPr>
        <w:pStyle w:val="Ttulo1"/>
        <w:spacing w:before="0" w:after="0"/>
        <w:ind w:left="0" w:hanging="0"/>
        <w:rPr>
          <w:rFonts w:ascii="Century Gothic" w:hAnsi="Century Gothic"/>
          <w:sz w:val="20"/>
          <w:szCs w:val="20"/>
        </w:rPr>
      </w:pPr>
      <w:r>
        <w:rPr>
          <w:rFonts w:ascii="Century Gothic" w:hAnsi="Century Gothic"/>
          <w:sz w:val="20"/>
          <w:szCs w:val="20"/>
        </w:rPr>
      </w:r>
    </w:p>
    <w:p>
      <w:pPr>
        <w:pStyle w:val="Ttulo1"/>
        <w:spacing w:before="0" w:after="0"/>
        <w:ind w:left="0" w:hanging="0"/>
        <w:rPr>
          <w:rFonts w:ascii="Century Gothic" w:hAnsi="Century Gothic"/>
          <w:sz w:val="20"/>
          <w:szCs w:val="20"/>
        </w:rPr>
      </w:pPr>
      <w:r>
        <w:rPr>
          <w:rFonts w:ascii="Century Gothic" w:hAnsi="Century Gothic"/>
          <w:sz w:val="20"/>
          <w:szCs w:val="20"/>
        </w:rPr>
      </w:r>
    </w:p>
    <w:p>
      <w:pPr>
        <w:pStyle w:val="Ttulo1"/>
        <w:spacing w:before="0" w:after="0"/>
        <w:ind w:left="0" w:hanging="0"/>
        <w:rPr>
          <w:rFonts w:ascii="Century Gothic" w:hAnsi="Century Gothic"/>
          <w:sz w:val="20"/>
          <w:szCs w:val="20"/>
        </w:rPr>
      </w:pPr>
      <w:r>
        <w:rPr>
          <w:rFonts w:ascii="Century Gothic" w:hAnsi="Century Gothic"/>
          <w:sz w:val="20"/>
          <w:szCs w:val="20"/>
        </w:rPr>
      </w:r>
    </w:p>
    <w:p>
      <w:pPr>
        <w:pStyle w:val="Ttulo1"/>
        <w:spacing w:before="0" w:after="0"/>
        <w:ind w:left="0" w:hanging="0"/>
        <w:jc w:val="center"/>
        <w:rPr>
          <w:rFonts w:ascii="Century Gothic" w:hAnsi="Century Gothic"/>
          <w:sz w:val="20"/>
          <w:szCs w:val="20"/>
        </w:rPr>
      </w:pPr>
      <w:r>
        <w:rPr>
          <w:rFonts w:ascii="Century Gothic" w:hAnsi="Century Gothic"/>
          <w:sz w:val="20"/>
          <w:szCs w:val="20"/>
        </w:rPr>
        <w:t>Capítulo I. Naturaleza y fundamento</w:t>
      </w:r>
    </w:p>
    <w:p>
      <w:pPr>
        <w:pStyle w:val="Normal"/>
        <w:jc w:val="both"/>
        <w:rPr>
          <w:rFonts w:ascii="Century Gothic" w:hAnsi="Century Gothic"/>
          <w:b/>
          <w:b/>
          <w:sz w:val="20"/>
          <w:szCs w:val="20"/>
        </w:rPr>
      </w:pPr>
      <w:r>
        <w:rPr>
          <w:rFonts w:ascii="Century Gothic" w:hAnsi="Century Gothic"/>
          <w:b/>
          <w:sz w:val="20"/>
          <w:szCs w:val="20"/>
        </w:rPr>
      </w:r>
    </w:p>
    <w:p>
      <w:pPr>
        <w:pStyle w:val="Normal"/>
        <w:jc w:val="both"/>
        <w:rPr>
          <w:rFonts w:ascii="Century Gothic" w:hAnsi="Century Gothic"/>
          <w:b/>
          <w:b/>
          <w:sz w:val="20"/>
          <w:szCs w:val="20"/>
        </w:rPr>
      </w:pPr>
      <w:r>
        <w:rPr>
          <w:rFonts w:ascii="Century Gothic" w:hAnsi="Century Gothic"/>
          <w:b/>
          <w:sz w:val="20"/>
          <w:szCs w:val="20"/>
        </w:rPr>
        <w:t>Artículo 1.</w:t>
      </w:r>
    </w:p>
    <w:p>
      <w:pPr>
        <w:pStyle w:val="Cuerpodetexto"/>
        <w:spacing w:before="0" w:after="0"/>
        <w:ind w:left="0" w:firstLine="72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El Impuesto sobre Actividades Económicas es un tributo directo de carácter real establecido con carácter obligatorio en el texto refundido de la Ley reguladora de las Haciendas Locales, aprobado por Real Decreto Legislativo 2/2004, de 5 de marzo y regulado de conformidad con lo que disponen los artículos 78 a 91, ambos inclusive de dicha disposición.</w:t>
      </w:r>
    </w:p>
    <w:p>
      <w:pPr>
        <w:pStyle w:val="Normal"/>
        <w:jc w:val="both"/>
        <w:rPr>
          <w:rFonts w:ascii="Century Gothic" w:hAnsi="Century Gothic"/>
          <w:b/>
          <w:b/>
          <w:sz w:val="20"/>
          <w:szCs w:val="20"/>
        </w:rPr>
      </w:pPr>
      <w:r>
        <w:rPr>
          <w:rFonts w:ascii="Century Gothic" w:hAnsi="Century Gothic"/>
          <w:b/>
          <w:sz w:val="20"/>
          <w:szCs w:val="20"/>
        </w:rPr>
      </w:r>
    </w:p>
    <w:p>
      <w:pPr>
        <w:pStyle w:val="Normal"/>
        <w:jc w:val="center"/>
        <w:rPr>
          <w:rFonts w:ascii="Century Gothic" w:hAnsi="Century Gothic"/>
          <w:b/>
          <w:b/>
          <w:sz w:val="20"/>
          <w:szCs w:val="20"/>
        </w:rPr>
      </w:pPr>
      <w:r>
        <w:rPr>
          <w:rFonts w:ascii="Century Gothic" w:hAnsi="Century Gothic"/>
          <w:b/>
          <w:sz w:val="20"/>
          <w:szCs w:val="20"/>
        </w:rPr>
        <w:t>Capítulo II. Hecho Imponible</w:t>
      </w:r>
    </w:p>
    <w:p>
      <w:pPr>
        <w:pStyle w:val="Normal"/>
        <w:jc w:val="both"/>
        <w:rPr>
          <w:rFonts w:ascii="Century Gothic" w:hAnsi="Century Gothic"/>
          <w:b/>
          <w:b/>
          <w:sz w:val="20"/>
          <w:szCs w:val="20"/>
        </w:rPr>
      </w:pPr>
      <w:r>
        <w:rPr>
          <w:rFonts w:ascii="Century Gothic" w:hAnsi="Century Gothic"/>
          <w:b/>
          <w:sz w:val="20"/>
          <w:szCs w:val="20"/>
        </w:rPr>
      </w:r>
    </w:p>
    <w:p>
      <w:pPr>
        <w:pStyle w:val="Normal"/>
        <w:jc w:val="both"/>
        <w:rPr>
          <w:rFonts w:ascii="Century Gothic" w:hAnsi="Century Gothic"/>
          <w:b/>
          <w:b/>
          <w:sz w:val="20"/>
          <w:szCs w:val="20"/>
        </w:rPr>
      </w:pPr>
      <w:r>
        <w:rPr>
          <w:rFonts w:ascii="Century Gothic" w:hAnsi="Century Gothic"/>
          <w:b/>
          <w:sz w:val="20"/>
          <w:szCs w:val="20"/>
        </w:rPr>
        <w:t>Artículo 2.</w:t>
      </w:r>
    </w:p>
    <w:p>
      <w:pPr>
        <w:pStyle w:val="Normal"/>
        <w:jc w:val="both"/>
        <w:rPr>
          <w:rFonts w:ascii="Century Gothic" w:hAnsi="Century Gothic"/>
          <w:b/>
          <w:b/>
          <w:sz w:val="20"/>
          <w:szCs w:val="20"/>
        </w:rPr>
      </w:pPr>
      <w:r>
        <w:rPr>
          <w:rFonts w:ascii="Century Gothic" w:hAnsi="Century Gothic"/>
          <w:b/>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1. El Impuesto sobre Actividades Económicas grava el ejercicio, en territorio nacional, de actividades empresariales, profesionales o artísticas, se ejerzan o no en local determinado y se hallen o no especificadas en las tarifas del impuesto.</w:t>
      </w:r>
    </w:p>
    <w:p>
      <w:pPr>
        <w:pStyle w:val="Cuerpodetexto"/>
        <w:spacing w:before="0" w:after="0"/>
        <w:ind w:left="1080" w:hanging="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2. Se consideran, a los efectos de este impuesto, actividades empresariales las ganaderas, cuando tengan carácter independiente, las mineras, industriales, comerciales y de servicios. No tienen, por consiguiente, tal consideración las actividades agrícolas, las ganaderas dependientes, las forestales y las pesqueras, no constituyendo hecho imponible por el impuesto ninguno de ellas.</w:t>
      </w:r>
    </w:p>
    <w:p>
      <w:pPr>
        <w:pStyle w:val="Cuerpodetexto"/>
        <w:spacing w:before="0" w:after="0"/>
        <w:ind w:left="0" w:hanging="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A efectos de lo previsto en el párrafo anterior, tendrá la consideración de ganadería independiente, el conjunto de cabezas de ganado que se encuentre comprendido en alguno de los casos siguientes:</w:t>
      </w:r>
    </w:p>
    <w:p>
      <w:pPr>
        <w:pStyle w:val="Cuerpodetexto"/>
        <w:spacing w:before="0" w:after="0"/>
        <w:ind w:left="0" w:hanging="0"/>
        <w:rPr>
          <w:rFonts w:ascii="Century Gothic" w:hAnsi="Century Gothic"/>
          <w:sz w:val="20"/>
          <w:szCs w:val="20"/>
        </w:rPr>
      </w:pPr>
      <w:r>
        <w:rPr>
          <w:rFonts w:ascii="Century Gothic" w:hAnsi="Century Gothic"/>
          <w:sz w:val="20"/>
          <w:szCs w:val="20"/>
        </w:rPr>
      </w:r>
    </w:p>
    <w:p>
      <w:pPr>
        <w:pStyle w:val="Cuerpodetexto"/>
        <w:numPr>
          <w:ilvl w:val="0"/>
          <w:numId w:val="5"/>
        </w:numPr>
        <w:spacing w:before="0" w:after="0"/>
        <w:rPr>
          <w:rFonts w:ascii="Century Gothic" w:hAnsi="Century Gothic"/>
          <w:sz w:val="20"/>
          <w:szCs w:val="20"/>
        </w:rPr>
      </w:pPr>
      <w:r>
        <w:rPr>
          <w:rFonts w:ascii="Century Gothic" w:hAnsi="Century Gothic"/>
          <w:sz w:val="20"/>
          <w:szCs w:val="20"/>
        </w:rPr>
        <w:t>Que paste o se alimente fundamentalmente en tierras que no sean explotadas agrícola o forestalmente por el dueño del ganado.</w:t>
      </w:r>
    </w:p>
    <w:p>
      <w:pPr>
        <w:pStyle w:val="Cuerpodetexto"/>
        <w:spacing w:before="0" w:after="0"/>
        <w:ind w:left="1080" w:hanging="0"/>
        <w:rPr>
          <w:rFonts w:ascii="Century Gothic" w:hAnsi="Century Gothic"/>
          <w:sz w:val="20"/>
          <w:szCs w:val="20"/>
        </w:rPr>
      </w:pPr>
      <w:r>
        <w:rPr>
          <w:rFonts w:ascii="Century Gothic" w:hAnsi="Century Gothic"/>
          <w:sz w:val="20"/>
          <w:szCs w:val="20"/>
        </w:rPr>
      </w:r>
    </w:p>
    <w:p>
      <w:pPr>
        <w:pStyle w:val="Cuerpodetexto"/>
        <w:numPr>
          <w:ilvl w:val="0"/>
          <w:numId w:val="5"/>
        </w:numPr>
        <w:spacing w:before="0" w:after="0"/>
        <w:rPr>
          <w:rFonts w:ascii="Century Gothic" w:hAnsi="Century Gothic"/>
          <w:sz w:val="20"/>
          <w:szCs w:val="20"/>
        </w:rPr>
      </w:pPr>
      <w:r>
        <w:rPr>
          <w:rFonts w:ascii="Century Gothic" w:hAnsi="Century Gothic"/>
          <w:sz w:val="20"/>
          <w:szCs w:val="20"/>
        </w:rPr>
        <w:t>El estabulado fuera de las fincas rústicas.</w:t>
      </w:r>
    </w:p>
    <w:p>
      <w:pPr>
        <w:pStyle w:val="ListParagraph"/>
        <w:rPr>
          <w:rFonts w:ascii="Century Gothic" w:hAnsi="Century Gothic"/>
          <w:sz w:val="20"/>
          <w:szCs w:val="20"/>
        </w:rPr>
      </w:pPr>
      <w:r>
        <w:rPr>
          <w:rFonts w:ascii="Century Gothic" w:hAnsi="Century Gothic"/>
          <w:sz w:val="20"/>
          <w:szCs w:val="20"/>
        </w:rPr>
      </w:r>
    </w:p>
    <w:p>
      <w:pPr>
        <w:pStyle w:val="Cuerpodetexto"/>
        <w:numPr>
          <w:ilvl w:val="0"/>
          <w:numId w:val="5"/>
        </w:numPr>
        <w:spacing w:before="0" w:after="0"/>
        <w:rPr>
          <w:rFonts w:ascii="Century Gothic" w:hAnsi="Century Gothic"/>
          <w:sz w:val="20"/>
          <w:szCs w:val="20"/>
        </w:rPr>
      </w:pPr>
      <w:r>
        <w:rPr>
          <w:rFonts w:ascii="Century Gothic" w:hAnsi="Century Gothic"/>
          <w:sz w:val="20"/>
          <w:szCs w:val="20"/>
        </w:rPr>
        <w:t>El trashumante o transterminante.</w:t>
      </w:r>
    </w:p>
    <w:p>
      <w:pPr>
        <w:pStyle w:val="ListParagraph"/>
        <w:rPr>
          <w:rFonts w:ascii="Century Gothic" w:hAnsi="Century Gothic"/>
          <w:sz w:val="20"/>
          <w:szCs w:val="20"/>
        </w:rPr>
      </w:pPr>
      <w:r>
        <w:rPr>
          <w:rFonts w:ascii="Century Gothic" w:hAnsi="Century Gothic"/>
          <w:sz w:val="20"/>
          <w:szCs w:val="20"/>
        </w:rPr>
      </w:r>
    </w:p>
    <w:p>
      <w:pPr>
        <w:pStyle w:val="Cuerpodetexto"/>
        <w:numPr>
          <w:ilvl w:val="0"/>
          <w:numId w:val="5"/>
        </w:numPr>
        <w:spacing w:before="0" w:after="0"/>
        <w:rPr>
          <w:rFonts w:ascii="Century Gothic" w:hAnsi="Century Gothic"/>
          <w:sz w:val="20"/>
          <w:szCs w:val="20"/>
        </w:rPr>
      </w:pPr>
      <w:r>
        <w:rPr>
          <w:rFonts w:ascii="Century Gothic" w:hAnsi="Century Gothic"/>
          <w:sz w:val="20"/>
          <w:szCs w:val="20"/>
        </w:rPr>
        <w:t>Aquel que se alimente fundamentalmente con piensos no producidos en la finca en que se críe.</w:t>
      </w:r>
    </w:p>
    <w:p>
      <w:pPr>
        <w:pStyle w:val="Cuerpodetexto"/>
        <w:spacing w:before="0" w:after="0"/>
        <w:ind w:left="0" w:hanging="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3. Se considerará que una actividad se ejerce con carácter empresarial, profesional o artístico, cuando suponga la ordenación por cuenta propia de medios de producción y de recursos humanos o de uno de ambos, con la finalidad de intervenir en la producción o distribución de bienes o servicios.</w:t>
      </w:r>
    </w:p>
    <w:p>
      <w:pPr>
        <w:pStyle w:val="Cuerpodetexto"/>
        <w:spacing w:before="0" w:after="0"/>
        <w:ind w:left="0" w:hanging="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4. El contenido de las actividades gravadas se definirá en las tarifas del impuesto.</w:t>
      </w:r>
    </w:p>
    <w:p>
      <w:pPr>
        <w:pStyle w:val="Cuerpodetexto"/>
        <w:spacing w:before="0" w:after="0"/>
        <w:ind w:left="0" w:hanging="0"/>
        <w:rPr>
          <w:rFonts w:ascii="Century Gothic" w:hAnsi="Century Gothic"/>
          <w:sz w:val="20"/>
          <w:szCs w:val="20"/>
        </w:rPr>
      </w:pPr>
      <w:r>
        <w:rPr>
          <w:rFonts w:ascii="Century Gothic" w:hAnsi="Century Gothic"/>
          <w:sz w:val="20"/>
          <w:szCs w:val="20"/>
        </w:rPr>
      </w:r>
    </w:p>
    <w:p>
      <w:pPr>
        <w:pStyle w:val="Cuerpodetexto"/>
        <w:spacing w:before="0" w:after="0"/>
        <w:ind w:left="0" w:hanging="0"/>
        <w:rPr>
          <w:rFonts w:ascii="Century Gothic" w:hAnsi="Century Gothic"/>
          <w:sz w:val="20"/>
          <w:szCs w:val="20"/>
        </w:rPr>
      </w:pPr>
      <w:r>
        <w:rPr>
          <w:rFonts w:ascii="Century Gothic" w:hAnsi="Century Gothic"/>
          <w:sz w:val="20"/>
          <w:szCs w:val="20"/>
        </w:rPr>
        <w:t>5. El ejercicio de las actividades gravadas se probará por cualquier medio admisible en derecho por los contemplados en el artículo 3 del Código de Comercio y en particular por:</w:t>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Cualquier declaración tributaria formulada por el interesado o por sus representantes legales.</w:t>
      </w:r>
    </w:p>
    <w:p>
      <w:pPr>
        <w:pStyle w:val="Cuerpodetexto"/>
        <w:spacing w:before="0" w:after="0"/>
        <w:ind w:left="1134" w:hanging="0"/>
        <w:rPr>
          <w:rFonts w:ascii="Century Gothic" w:hAnsi="Century Gothic"/>
          <w:sz w:val="20"/>
          <w:szCs w:val="20"/>
        </w:rPr>
      </w:pPr>
      <w:r>
        <w:rPr>
          <w:rFonts w:ascii="Century Gothic" w:hAnsi="Century Gothic"/>
          <w:sz w:val="20"/>
          <w:szCs w:val="20"/>
        </w:rPr>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Reconocimiento por el interesado o sus representantes legales en diligencia, en acta de inspección o en cualquier otro expediente tributario.</w:t>
      </w:r>
    </w:p>
    <w:p>
      <w:pPr>
        <w:pStyle w:val="ListParagraph"/>
        <w:spacing w:before="0" w:after="0"/>
        <w:rPr>
          <w:rFonts w:ascii="Century Gothic" w:hAnsi="Century Gothic"/>
          <w:sz w:val="20"/>
          <w:szCs w:val="20"/>
        </w:rPr>
      </w:pPr>
      <w:r>
        <w:rPr>
          <w:rFonts w:ascii="Century Gothic" w:hAnsi="Century Gothic"/>
          <w:sz w:val="20"/>
          <w:szCs w:val="20"/>
        </w:rPr>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Anuncios, circulares, muestras, rótulos o cualquier otro procedimiento publicitario que ponga de manifiesto el ejercicio de una actividad económica.</w:t>
      </w:r>
    </w:p>
    <w:p>
      <w:pPr>
        <w:pStyle w:val="ListParagraph"/>
        <w:spacing w:before="0" w:after="0"/>
        <w:rPr>
          <w:rFonts w:ascii="Century Gothic" w:hAnsi="Century Gothic"/>
          <w:sz w:val="20"/>
          <w:szCs w:val="20"/>
        </w:rPr>
      </w:pPr>
      <w:r>
        <w:rPr>
          <w:rFonts w:ascii="Century Gothic" w:hAnsi="Century Gothic"/>
          <w:sz w:val="20"/>
          <w:szCs w:val="20"/>
        </w:rPr>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Datos obtenidos de los libros o registros de contabilidad llevados por toda clase de organismos o Empresas, debidamente certificados por los encargados de los mismos o por la propia Administración.</w:t>
      </w:r>
    </w:p>
    <w:p>
      <w:pPr>
        <w:pStyle w:val="ListParagraph"/>
        <w:spacing w:before="0" w:after="0"/>
        <w:rPr>
          <w:rFonts w:ascii="Century Gothic" w:hAnsi="Century Gothic"/>
          <w:sz w:val="20"/>
          <w:szCs w:val="20"/>
        </w:rPr>
      </w:pPr>
      <w:r>
        <w:rPr>
          <w:rFonts w:ascii="Century Gothic" w:hAnsi="Century Gothic"/>
          <w:sz w:val="20"/>
          <w:szCs w:val="20"/>
        </w:rPr>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Datos facilitados por toda clase de autoridades por iniciativa propia o a requerimiento de la administración tributaria competente.</w:t>
      </w:r>
    </w:p>
    <w:p>
      <w:pPr>
        <w:pStyle w:val="ListParagraph"/>
        <w:spacing w:before="0" w:after="0"/>
        <w:rPr>
          <w:rFonts w:ascii="Century Gothic" w:hAnsi="Century Gothic"/>
          <w:sz w:val="20"/>
          <w:szCs w:val="20"/>
        </w:rPr>
      </w:pPr>
      <w:r>
        <w:rPr>
          <w:rFonts w:ascii="Century Gothic" w:hAnsi="Century Gothic"/>
          <w:sz w:val="20"/>
          <w:szCs w:val="20"/>
        </w:rPr>
      </w:r>
    </w:p>
    <w:p>
      <w:pPr>
        <w:pStyle w:val="Cuerpodetexto"/>
        <w:numPr>
          <w:ilvl w:val="0"/>
          <w:numId w:val="6"/>
        </w:numPr>
        <w:spacing w:before="0" w:after="0"/>
        <w:ind w:left="1134" w:hanging="360"/>
        <w:rPr>
          <w:rFonts w:ascii="Century Gothic" w:hAnsi="Century Gothic"/>
          <w:sz w:val="20"/>
          <w:szCs w:val="20"/>
        </w:rPr>
      </w:pPr>
      <w:r>
        <w:rPr>
          <w:rFonts w:ascii="Century Gothic" w:hAnsi="Century Gothic"/>
          <w:sz w:val="20"/>
          <w:szCs w:val="20"/>
        </w:rPr>
        <w:t>Datos facilitados por las Cámaras Oficiales de Comercio, Industria y Navegación, Colegios y Asociaciones Profesionales y demás instituciones oficialmente reconocidas, por iniciativa propia o a requerimiento de la Administración</w:t>
      </w:r>
    </w:p>
    <w:p>
      <w:pPr>
        <w:pStyle w:val="Cuerpodetexto"/>
        <w:spacing w:before="0" w:after="0"/>
        <w:ind w:left="0" w:firstLine="720"/>
        <w:rPr>
          <w:rFonts w:ascii="Century Gothic" w:hAnsi="Century Gothic"/>
          <w:sz w:val="20"/>
          <w:szCs w:val="20"/>
        </w:rPr>
      </w:pPr>
      <w:r>
        <w:rPr>
          <w:rFonts w:ascii="Century Gothic" w:hAnsi="Century Gothic"/>
          <w:sz w:val="20"/>
          <w:szCs w:val="20"/>
        </w:rPr>
      </w:r>
    </w:p>
    <w:p>
      <w:pPr>
        <w:pStyle w:val="Ttulo1"/>
        <w:spacing w:before="0" w:after="0"/>
        <w:ind w:left="0" w:hanging="0"/>
        <w:rPr>
          <w:rFonts w:ascii="Century Gothic" w:hAnsi="Century Gothic"/>
          <w:sz w:val="20"/>
          <w:szCs w:val="20"/>
        </w:rPr>
      </w:pPr>
      <w:r>
        <w:rPr>
          <w:rFonts w:ascii="Century Gothic" w:hAnsi="Century Gothic"/>
          <w:sz w:val="20"/>
          <w:szCs w:val="20"/>
        </w:rPr>
        <w:t>Artículo 3.</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No constituye hecho imponible en este impuesto el ejercicio de las siguientes actividades:</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4"/>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 enajenación de bienes integrados en el activo fijo de las Empresas que hubieran figurado debidamente inventariados como tal inmovilizado con más de dos años de antelación a la fecha de transmitirse, y la venta de bienes de uso particular y privado del vendedor siempre que los hubiese utilizado durante igual período de tiempo.</w:t>
      </w:r>
    </w:p>
    <w:p>
      <w:pPr>
        <w:pStyle w:val="Ttulo1"/>
        <w:spacing w:before="0" w:after="0"/>
        <w:ind w:left="1080" w:hanging="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4"/>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 venta de los productos que se reciben en pago de trabajos personales o servicios profesionales.</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4"/>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 exposición de artículos con el fin exclusivo de decoración o adorno del establecimiento. Por el contrario, estará sujeta al impuesto la exposición de artículos para regalo a los clientes.</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4"/>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Cuando se trate de venta al por menor la realización de un solo acto u operación aislada.</w:t>
      </w:r>
    </w:p>
    <w:p>
      <w:pPr>
        <w:pStyle w:val="Cuerpodetexto"/>
        <w:spacing w:before="0" w:after="0"/>
        <w:ind w:left="0" w:firstLine="720"/>
        <w:rPr>
          <w:rFonts w:ascii="Century Gothic" w:hAnsi="Century Gothic" w:cs="Arial"/>
          <w:sz w:val="20"/>
          <w:szCs w:val="20"/>
        </w:rPr>
      </w:pPr>
      <w:r>
        <w:rPr>
          <w:rFonts w:cs="Arial" w:ascii="Century Gothic" w:hAnsi="Century Gothic"/>
          <w:sz w:val="20"/>
          <w:szCs w:val="20"/>
        </w:rPr>
      </w:r>
    </w:p>
    <w:p>
      <w:pPr>
        <w:pStyle w:val="Cuerpodetexto"/>
        <w:spacing w:before="0" w:after="0"/>
        <w:ind w:left="0" w:hanging="0"/>
        <w:jc w:val="center"/>
        <w:rPr>
          <w:rFonts w:ascii="Century Gothic" w:hAnsi="Century Gothic"/>
          <w:b/>
          <w:b/>
          <w:bCs/>
          <w:spacing w:val="-3"/>
          <w:sz w:val="20"/>
          <w:szCs w:val="20"/>
        </w:rPr>
      </w:pPr>
      <w:r>
        <w:rPr>
          <w:rFonts w:ascii="Century Gothic" w:hAnsi="Century Gothic"/>
          <w:b/>
          <w:bCs/>
          <w:spacing w:val="-3"/>
          <w:sz w:val="20"/>
          <w:szCs w:val="20"/>
        </w:rPr>
        <w:t>Capítulo III. Sujeto pasivo</w:t>
      </w:r>
    </w:p>
    <w:p>
      <w:pPr>
        <w:pStyle w:val="Cuerpodetexto"/>
        <w:spacing w:before="0" w:after="0"/>
        <w:ind w:left="0" w:firstLine="720"/>
        <w:rPr>
          <w:rFonts w:ascii="Century Gothic" w:hAnsi="Century Gothic"/>
          <w:sz w:val="20"/>
          <w:szCs w:val="20"/>
        </w:rPr>
      </w:pPr>
      <w:r>
        <w:rPr>
          <w:rFonts w:ascii="Century Gothic" w:hAnsi="Century Gothic"/>
          <w:sz w:val="20"/>
          <w:szCs w:val="20"/>
        </w:rPr>
      </w:r>
    </w:p>
    <w:p>
      <w:pPr>
        <w:pStyle w:val="Ttulo1"/>
        <w:spacing w:before="0" w:after="0"/>
        <w:ind w:left="0" w:hanging="0"/>
        <w:rPr>
          <w:rFonts w:ascii="Century Gothic" w:hAnsi="Century Gothic"/>
          <w:sz w:val="20"/>
          <w:szCs w:val="20"/>
        </w:rPr>
      </w:pPr>
      <w:r>
        <w:rPr>
          <w:rFonts w:ascii="Century Gothic" w:hAnsi="Century Gothic"/>
          <w:sz w:val="20"/>
          <w:szCs w:val="20"/>
        </w:rPr>
        <w:t>Artículo 4.</w:t>
      </w:r>
    </w:p>
    <w:p>
      <w:pPr>
        <w:pStyle w:val="Cuerpodetexto"/>
        <w:spacing w:before="0" w:after="0"/>
        <w:ind w:left="0" w:firstLine="720"/>
        <w:rPr>
          <w:rFonts w:ascii="Century Gothic" w:hAnsi="Century Gothic" w:cs="Arial"/>
          <w:sz w:val="20"/>
          <w:szCs w:val="20"/>
        </w:rPr>
      </w:pPr>
      <w:r>
        <w:rPr>
          <w:rFonts w:cs="Arial" w:ascii="Century Gothic" w:hAnsi="Century Gothic"/>
          <w:sz w:val="20"/>
          <w:szCs w:val="20"/>
        </w:rPr>
      </w:r>
    </w:p>
    <w:p>
      <w:pPr>
        <w:pStyle w:val="Cuerpodetexto"/>
        <w:spacing w:before="0" w:after="0"/>
        <w:ind w:left="0" w:hanging="0"/>
        <w:rPr>
          <w:rFonts w:ascii="Century Gothic" w:hAnsi="Century Gothic" w:cs="Arial"/>
          <w:sz w:val="20"/>
          <w:szCs w:val="20"/>
        </w:rPr>
      </w:pPr>
      <w:r>
        <w:rPr>
          <w:rFonts w:cs="Arial" w:ascii="Century Gothic" w:hAnsi="Century Gothic"/>
          <w:sz w:val="20"/>
          <w:szCs w:val="20"/>
        </w:rPr>
        <w:t>Son sujetos pasivos de este impuesto las personas físicas o jurídicas y las Entidades a que se refiere el artículo 35.4 de la Ley 58/2003, de 17 de diciembre, General Tributaria siempre que realicen en territorio nacional cualquiera de las actividades que originan el hecho imponible.</w:t>
      </w:r>
    </w:p>
    <w:p>
      <w:pPr>
        <w:pStyle w:val="Cuerpodetexto"/>
        <w:spacing w:before="0" w:after="0"/>
        <w:ind w:left="0" w:firstLine="720"/>
        <w:rPr>
          <w:rFonts w:ascii="Century Gothic" w:hAnsi="Century Gothic" w:cs="Arial"/>
          <w:sz w:val="20"/>
          <w:szCs w:val="20"/>
        </w:rPr>
      </w:pPr>
      <w:r>
        <w:rPr>
          <w:rFonts w:cs="Arial" w:ascii="Century Gothic" w:hAnsi="Century Gothic"/>
          <w:sz w:val="20"/>
          <w:szCs w:val="20"/>
        </w:rPr>
      </w:r>
    </w:p>
    <w:p>
      <w:pPr>
        <w:pStyle w:val="Ttulo1"/>
        <w:spacing w:before="0" w:after="0"/>
        <w:ind w:left="0" w:hanging="0"/>
        <w:jc w:val="center"/>
        <w:rPr>
          <w:rFonts w:ascii="Century Gothic" w:hAnsi="Century Gothic"/>
          <w:sz w:val="20"/>
          <w:szCs w:val="20"/>
        </w:rPr>
      </w:pPr>
      <w:r>
        <w:rPr>
          <w:rFonts w:ascii="Century Gothic" w:hAnsi="Century Gothic"/>
          <w:sz w:val="20"/>
          <w:szCs w:val="20"/>
        </w:rPr>
        <w:t>Capítulo IV. Exenciones del Impuesto</w:t>
      </w:r>
    </w:p>
    <w:p>
      <w:pPr>
        <w:pStyle w:val="Normal"/>
        <w:jc w:val="both"/>
        <w:rPr>
          <w:rFonts w:ascii="Century Gothic" w:hAnsi="Century Gothic"/>
          <w:b/>
          <w:b/>
          <w:sz w:val="20"/>
          <w:szCs w:val="20"/>
        </w:rPr>
      </w:pPr>
      <w:r>
        <w:rPr>
          <w:rFonts w:ascii="Century Gothic" w:hAnsi="Century Gothic"/>
          <w:b/>
          <w:sz w:val="20"/>
          <w:szCs w:val="20"/>
        </w:rPr>
      </w:r>
    </w:p>
    <w:p>
      <w:pPr>
        <w:pStyle w:val="Normal"/>
        <w:jc w:val="both"/>
        <w:rPr>
          <w:rFonts w:ascii="Century Gothic" w:hAnsi="Century Gothic"/>
          <w:b/>
          <w:b/>
          <w:sz w:val="20"/>
          <w:szCs w:val="20"/>
        </w:rPr>
      </w:pPr>
      <w:r>
        <w:rPr>
          <w:rFonts w:ascii="Century Gothic" w:hAnsi="Century Gothic"/>
          <w:b/>
          <w:sz w:val="20"/>
          <w:szCs w:val="20"/>
        </w:rPr>
        <w:t>Artículo 5.</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1. Están exentos del impuesto:</w:t>
      </w:r>
    </w:p>
    <w:p>
      <w:pPr>
        <w:pStyle w:val="Ttulo1"/>
        <w:spacing w:before="0" w:after="0"/>
        <w:ind w:left="1080" w:hanging="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El Estado, las Comunidades Autónomas y las Entidades Locales, así como los Organismos autónomos del Estado y las entidades de derecho público de análogo carácter de las Comunidades Autónomas y de las Entidades Locales.</w:t>
      </w:r>
    </w:p>
    <w:p>
      <w:pPr>
        <w:pStyle w:val="Ttulo1"/>
        <w:spacing w:before="0" w:after="0"/>
        <w:ind w:left="1080" w:hanging="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Los sujetos pasivos que inicien el ejercicio de su actividad a partir de 1 de enero de 2003, durante los dos primeros períodos impositivos de este impuesto en que se desarrolle la misma.</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Los siguientes sujetos pasivos:</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1"/>
          <w:numId w:val="1"/>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 xml:space="preserve">Las personas físicas. </w:t>
      </w:r>
    </w:p>
    <w:p>
      <w:pPr>
        <w:pStyle w:val="Ttulo1"/>
        <w:numPr>
          <w:ilvl w:val="1"/>
          <w:numId w:val="1"/>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Los sujetos pasivos del Impuesto sobre Sociedades, las sociedades civiles y las entidades del artículo 35.4 de la Ley General Tributaria, que tengan un importe neto de la cifra de negocios inferior a 1.000.000 de euros.</w:t>
      </w:r>
    </w:p>
    <w:p>
      <w:pPr>
        <w:pStyle w:val="Ttulo1"/>
        <w:numPr>
          <w:ilvl w:val="1"/>
          <w:numId w:val="1"/>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En cuanto a los contribuyentes por el Impuesto sobre la Renta de no Residentes, la exención sólo alcanzará a los que operen en España mediante establecimiento permanente, siempre que tengan un importe neto de la cifra de negocio inferior a 1.000.000 de euros.</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Las entidades gestoras de la Seguridad Social y las Mutualidades de Previsión Social reguladas por el texto refundido de la Ley de Ordenación y Supervisión de los Seguros Privados, aprobado por Real Decreto Legislativo 6/2004, de 29 de octubre.</w:t>
      </w:r>
    </w:p>
    <w:p>
      <w:pPr>
        <w:pStyle w:val="Ttulo1"/>
        <w:spacing w:before="0" w:after="0"/>
        <w:ind w:left="1080" w:hanging="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Los organismos públicos de investigación y los establecimientos de enseñanza en todos sus grados costeados íntegramente con fondos del Estado, de las Comunidades Autónomas, o de las Entidades locales, o por Fundaciones declaradas benéficas o de utilidad pública, y los establecimientos de enseñanza en todos sus grados que, careciendo de ánimo de lucro, estuvieren en régimen de concierto educativo, incluso si facilitasen a sus alumnos libros o artículos de escritorio o les prestasen los servicios de media pensión o internado y aunque por excepción vendan en el mismo establecimiento los productos de los talleres dedicados a dicha enseñanza, siempre que el importe de dicha venta, sin utilidad para ningún particular o tercera persona, se destine exclusivamente a la adquisición de materias primas o al sostenimiento del establecimiento.</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Las Asociaciones y Fundaciones de disminuidos físicos, psíquicos y sensoriales, sin ánimo de lucro, por las actividades de carácter pedagógico, científico, asistencial y de empleo que para la enseñanza, educación, rehabilitación y tutela de minusválidos realicen, aunque vendan los productos de los talleres dedicados a dichos fines, siempre que el importe de dicha venta, sin utilidad para ningún particular o tercera persona, se destine exclusivamente a la adquisición de materias primas o al sostenimiento del establecimiento.</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 Cruz Roja Española.</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Los sujetos pasivos a los que les sea de aplicación la exención en virtud de Tratados o Convenios Internacionales.</w:t>
      </w:r>
    </w:p>
    <w:p>
      <w:pPr>
        <w:pStyle w:val="ListParagraph"/>
        <w:spacing w:before="0" w:after="0"/>
        <w:rPr>
          <w:rFonts w:ascii="Century Gothic" w:hAnsi="Century Gothic"/>
          <w:b/>
          <w:b/>
          <w:bCs/>
          <w:sz w:val="20"/>
          <w:szCs w:val="20"/>
        </w:rPr>
      </w:pPr>
      <w:r>
        <w:rPr>
          <w:rFonts w:ascii="Century Gothic" w:hAnsi="Century Gothic"/>
          <w:b/>
          <w:bCs/>
          <w:sz w:val="20"/>
          <w:szCs w:val="20"/>
        </w:rPr>
      </w:r>
    </w:p>
    <w:p>
      <w:pPr>
        <w:pStyle w:val="Ttulo1"/>
        <w:numPr>
          <w:ilvl w:val="0"/>
          <w:numId w:val="2"/>
        </w:numPr>
        <w:spacing w:before="0" w:after="0"/>
        <w:rPr>
          <w:rFonts w:ascii="Century Gothic" w:hAnsi="Century Gothic"/>
          <w:b w:val="false"/>
          <w:b w:val="false"/>
          <w:bCs w:val="false"/>
          <w:sz w:val="20"/>
          <w:szCs w:val="20"/>
        </w:rPr>
      </w:pPr>
      <w:r>
        <w:rPr>
          <w:rFonts w:ascii="Century Gothic" w:hAnsi="Century Gothic"/>
          <w:b w:val="false"/>
          <w:bCs w:val="false"/>
          <w:sz w:val="20"/>
          <w:szCs w:val="20"/>
        </w:rPr>
        <w:t>Las entidades sin fines lucrativos y aquellas otras entidades recogidas en la Ley 49/2002, de 2 de diciembre, de régimen fiscal de entidades sin fines lucrativos y de los incentivos fiscales al mecenazgo, en los supuestos y con los requisitos que la citada ley y el Reglamento para la aplicación del régimen fiscal de las mencionadas entidades, aprobado por Real Decreto 1270/2003, de 10 de octubre, establecen.</w:t>
      </w:r>
    </w:p>
    <w:p>
      <w:pPr>
        <w:pStyle w:val="ListParagraph"/>
        <w:rPr>
          <w:rFonts w:ascii="Century Gothic" w:hAnsi="Century Gothic"/>
          <w:b/>
          <w:b/>
          <w:bCs/>
          <w:sz w:val="20"/>
          <w:szCs w:val="20"/>
        </w:rPr>
      </w:pPr>
      <w:r>
        <w:rPr>
          <w:rFonts w:ascii="Century Gothic" w:hAnsi="Century Gothic"/>
          <w:b/>
          <w:bCs/>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2. A los efectos de la aplicación de la exención prevista en la letra b) de este artículo, no se considerará que se ha producido el inicio del ejercicio de una actividad cuando la misma se haya desarrollado anteriormente bajo otra titularidad, circunstancia que se entenderá que concurre, entre otros supuestos, en los casos de fusión, escisión o aportación de ramas de actividad.</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3. De conformidad con lo previsto en el artículo 82.1.c) del texto refundido de la Ley reguladora de las Haciendas Locales, a los efectos de la aplicación de la exención prevista en la letra c) de este artículo, se tendrán en cuenta las siguientes reglas:</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t>1.ª El importe neto de la cifra de negocios se determinará de acuerdo con lo previsto en el</w:t>
      </w:r>
      <w:r>
        <w:rPr>
          <w:rFonts w:ascii="Century Gothic" w:hAnsi="Century Gothic"/>
          <w:b w:val="false"/>
          <w:bCs w:val="false"/>
          <w:color w:val="FF0000"/>
          <w:sz w:val="20"/>
          <w:szCs w:val="20"/>
        </w:rPr>
        <w:t xml:space="preserve"> apartado 2 del artículo 35 del Código de Comercio.</w:t>
      </w:r>
      <w:r>
        <w:rPr>
          <w:rFonts w:ascii="Century Gothic" w:hAnsi="Century Gothic"/>
          <w:b w:val="false"/>
          <w:bCs w:val="false"/>
          <w:sz w:val="20"/>
          <w:szCs w:val="20"/>
        </w:rPr>
        <w:t xml:space="preserve"> </w:t>
      </w:r>
      <w:r>
        <w:rPr>
          <w:rFonts w:ascii="Century Gothic" w:hAnsi="Century Gothic"/>
          <w:b w:val="false"/>
          <w:bCs w:val="false"/>
          <w:strike/>
          <w:sz w:val="20"/>
          <w:szCs w:val="20"/>
        </w:rPr>
        <w:t>artículo 191 del texto refundido de la Ley de Sociedades Anónimas, aprobado por Real Decreto Legislativo 1564/1989, de 22 de diciembre.</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t>2.ª El importe neto de la cifra de negocios será, en el caso de los sujetos pasivos del Impuesto sobre Sociedades o de los contribuyentes por el Impuesto sobre la Renta de No Residentes, el del período impositivo cuyo plazo de presentación de declaraciones por dichos tributos hubiese finalizado el año anterior al del devengo de este impuesto. En el caso de las sociedades civiles y las entidades a que se refiere el artículo 35.4 de la Ley General Tributaria, el importe neto de la cifra de negocios será el que corresponda al penúltimo año anterior al del devengo de este impuesto. Si dicho período impositivo hubiera tenido una duración inferior al año natural, el importe neto de la cifra de negocios se elevará al año.</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t xml:space="preserve">3.ª Para el cálculo del importe de la cifra de negocios del sujeto pasivo, se tendrá en cuenta el conjunto de las actividades económicas ejercidas por el mismo. </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t xml:space="preserve">No obstante, cuando la entidad forme parte de un grupo de sociedades </w:t>
      </w:r>
      <w:r>
        <w:rPr>
          <w:rFonts w:ascii="Century Gothic" w:hAnsi="Century Gothic"/>
          <w:b w:val="false"/>
          <w:bCs w:val="false"/>
          <w:color w:val="FF0000"/>
          <w:sz w:val="20"/>
          <w:szCs w:val="20"/>
        </w:rPr>
        <w:t xml:space="preserve">por concurrir alguna de las circunstancias consideradas en el apartado 1 del artículo 42 del Código de Comercio como determinantes de la existencia de control, con independencia de la obligación de consolidación contable, </w:t>
      </w:r>
      <w:r>
        <w:rPr>
          <w:rFonts w:ascii="Century Gothic" w:hAnsi="Century Gothic"/>
          <w:b w:val="false"/>
          <w:bCs w:val="false"/>
          <w:strike/>
          <w:sz w:val="20"/>
          <w:szCs w:val="20"/>
        </w:rPr>
        <w:t>en el sentido del artículo 42 del Código de Comercio,</w:t>
      </w:r>
      <w:r>
        <w:rPr>
          <w:rFonts w:ascii="Century Gothic" w:hAnsi="Century Gothic"/>
          <w:b w:val="false"/>
          <w:bCs w:val="false"/>
          <w:sz w:val="20"/>
          <w:szCs w:val="20"/>
        </w:rPr>
        <w:t xml:space="preserve"> el importe neto de la cifra de negocios se referirá al conjunto de entidades pertenecientes a dicho grupo.</w:t>
      </w:r>
    </w:p>
    <w:p>
      <w:pPr>
        <w:pStyle w:val="Ttulo1"/>
        <w:spacing w:before="0" w:after="0"/>
        <w:ind w:left="0" w:firstLine="720"/>
        <w:rPr>
          <w:rFonts w:ascii="Century Gothic" w:hAnsi="Century Gothic"/>
          <w:b w:val="false"/>
          <w:b w:val="false"/>
          <w:bCs w:val="false"/>
          <w:color w:val="FF0000"/>
          <w:sz w:val="20"/>
          <w:szCs w:val="20"/>
        </w:rPr>
      </w:pPr>
      <w:r>
        <w:rPr>
          <w:rFonts w:ascii="Century Gothic" w:hAnsi="Century Gothic"/>
          <w:b w:val="false"/>
          <w:bCs w:val="false"/>
          <w:sz w:val="20"/>
          <w:szCs w:val="20"/>
        </w:rPr>
        <w:t xml:space="preserve">A efectos de lo dispuesto en el párrafo anterior, se entenderá que los casos del artículo 42 del Código de Comercio son los recogidos en la sección 1.ª del Capítulo I de las normas para la formulación de las cuentas anuales consolidadas, aprobadas por Real Decreto </w:t>
      </w:r>
      <w:r>
        <w:rPr>
          <w:rFonts w:ascii="Century Gothic" w:hAnsi="Century Gothic"/>
          <w:b w:val="false"/>
          <w:bCs w:val="false"/>
          <w:strike/>
          <w:sz w:val="20"/>
          <w:szCs w:val="20"/>
        </w:rPr>
        <w:t>1815/1991, de 20 de diciembre</w:t>
      </w:r>
      <w:r>
        <w:rPr>
          <w:rFonts w:ascii="Century Gothic" w:hAnsi="Century Gothic"/>
          <w:b w:val="false"/>
          <w:bCs w:val="false"/>
          <w:sz w:val="20"/>
          <w:szCs w:val="20"/>
        </w:rPr>
        <w:t xml:space="preserve"> </w:t>
      </w:r>
      <w:r>
        <w:rPr>
          <w:rFonts w:ascii="Century Gothic" w:hAnsi="Century Gothic"/>
          <w:b w:val="false"/>
          <w:bCs w:val="false"/>
          <w:color w:val="FF0000"/>
          <w:sz w:val="20"/>
          <w:szCs w:val="20"/>
        </w:rPr>
        <w:t>1159/2010, de 17 de septiembre.</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t>4.ª En el supuesto de los contribuyentes por el Impuesto sobre la Renta de No Residentes, se atenderá al importe neto de la cifra de negocios imputable al conjunto de los establecimientos permanentes situados en territorio español.</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4. A los efectos previstos en la letra i) de este artículo, con respecto a aquellas entidades que tengan la obligación de efectuar la comunicación del ejercicio de la opción del régimen fiscal especial previsto en el título II de la Ley 49/2002, de 23 de diciembre, hará las veces de comunicación, de conformidad con el artículo 2.3 del Reglamento de desarrollo de la citada ley, la presentación, ante la Administración Tributaria del Estado de la declaración censal a que se refiere el artículo 1.2 del mencionado reglamento y surtirá efecto a partir del período impositivo que coincida con el año natural en que se presente dicha declaración.</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5. De conformidad con lo establecido en el apartado 2 de la regla 14 de la Instrucción del impuesto, las oscilaciones en más o en menos no superiores al 20 por 100 de los elementos tributarios, no alterarán la cuantía de las cuotas por las que se venga tributando. Cuando las oscilaciones de referencia fuesen superiores al porcentaje indicado, las mismas tendrán la consideración de variaciones a efectos de lo dispuesto en el párrafo segundo del artículo 90.2 del texto refundido de la Ley reguladora de las Haciendas Locales.</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6. Las exenciones previstas en las letras e) y f) del apartado primero de este artículo tendrán carácter rogado y se concederán, cuando proceda, a instancia de parte.</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7. El plazo para solicitar exenciones se iniciará en la fecha del devengo del impuesto, finalizando el día 31 de enero, o día hábil inmediato posterior, para que surta efecto en el padrón del impuesto del ejercicio en el que se soliciten. Las solicitudes presentadas fuera de plazo surtirán efectos para el ejercicio siguiente, en tanto reúnan los requisitos exigidos para su concesión. Las exenciones no tendrán efecto retroactivo</w:t>
      </w:r>
      <w:r>
        <w:rPr>
          <w:rFonts w:ascii="Century Gothic" w:hAnsi="Century Gothic"/>
          <w:b w:val="false"/>
          <w:bCs w:val="false"/>
          <w:color w:val="00B050"/>
          <w:sz w:val="20"/>
          <w:szCs w:val="20"/>
        </w:rPr>
        <w:t>.</w:t>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 xml:space="preserve">Las solicitudes presentadas fuera de plazo surtirán efectos para el ejercicio siguiente. </w:t>
      </w:r>
    </w:p>
    <w:p>
      <w:pPr>
        <w:pStyle w:val="Ttulo1"/>
        <w:spacing w:before="0" w:after="0"/>
        <w:ind w:left="0" w:hanging="0"/>
        <w:rPr>
          <w:rFonts w:ascii="Century Gothic" w:hAnsi="Century Gothic"/>
          <w:b w:val="false"/>
          <w:b w:val="false"/>
          <w:bCs w:val="false"/>
          <w:sz w:val="20"/>
          <w:szCs w:val="20"/>
        </w:rPr>
      </w:pPr>
      <w:r>
        <w:rPr>
          <w:rFonts w:ascii="Century Gothic" w:hAnsi="Century Gothic"/>
          <w:b w:val="false"/>
          <w:bCs w:val="false"/>
          <w:sz w:val="20"/>
          <w:szCs w:val="20"/>
        </w:rPr>
        <w:t>No obstante, cuando se trate de declaraciones de alta los sujetos pasivos que tengan derecho a las exenciones reguladas en los apartados anteriores, por cumplir los requisitos establecidos para su disfrute, podrán surtir efectos en el ejercicio corriente, siempre que la solicitud se formule en el momento de la presentación de la correspondiente autoliquidación en los términos previstos en el artículo 19 de la presente Ordenanza, sin perjuicio de la oportuna comprobación por la Administración municipal.</w:t>
      </w:r>
    </w:p>
    <w:p>
      <w:pPr>
        <w:pStyle w:val="Ttulo1"/>
        <w:spacing w:before="0" w:after="0"/>
        <w:ind w:left="0" w:firstLine="720"/>
        <w:rPr>
          <w:rFonts w:ascii="Century Gothic" w:hAnsi="Century Gothic"/>
          <w:b w:val="false"/>
          <w:b w:val="false"/>
          <w:bCs w:val="false"/>
          <w:sz w:val="20"/>
          <w:szCs w:val="20"/>
        </w:rPr>
      </w:pPr>
      <w:r>
        <w:rPr>
          <w:rFonts w:ascii="Century Gothic" w:hAnsi="Century Gothic"/>
          <w:b w:val="false"/>
          <w:bCs w:val="false"/>
          <w:sz w:val="20"/>
          <w:szCs w:val="20"/>
        </w:rPr>
      </w:r>
    </w:p>
    <w:p>
      <w:pPr>
        <w:pStyle w:val="Ttulo1"/>
        <w:spacing w:before="0" w:after="0"/>
        <w:ind w:left="0" w:hanging="0"/>
        <w:rPr>
          <w:rFonts w:ascii="Century Gothic" w:hAnsi="Century Gothic"/>
          <w:sz w:val="20"/>
          <w:szCs w:val="20"/>
        </w:rPr>
      </w:pPr>
      <w:r>
        <w:rPr>
          <w:rFonts w:ascii="Century Gothic" w:hAnsi="Century Gothic"/>
          <w:sz w:val="20"/>
          <w:szCs w:val="20"/>
        </w:rPr>
      </w:r>
    </w:p>
    <w:p>
      <w:pPr>
        <w:pStyle w:val="Ttulo1"/>
        <w:spacing w:before="0" w:after="0"/>
        <w:ind w:left="0" w:hanging="0"/>
        <w:jc w:val="center"/>
        <w:rPr>
          <w:rFonts w:ascii="Century Gothic" w:hAnsi="Century Gothic"/>
          <w:sz w:val="20"/>
          <w:szCs w:val="20"/>
        </w:rPr>
      </w:pPr>
      <w:r>
        <w:rPr>
          <w:rFonts w:ascii="Century Gothic" w:hAnsi="Century Gothic"/>
          <w:sz w:val="20"/>
          <w:szCs w:val="20"/>
        </w:rPr>
        <w:t>Capítulo V. Tarifas y cuota tributaria</w:t>
      </w:r>
    </w:p>
    <w:p>
      <w:pPr>
        <w:pStyle w:val="Normal"/>
        <w:jc w:val="both"/>
        <w:rPr>
          <w:rFonts w:ascii="Century Gothic" w:hAnsi="Century Gothic"/>
          <w:b/>
          <w:b/>
          <w:sz w:val="20"/>
          <w:szCs w:val="20"/>
        </w:rPr>
      </w:pPr>
      <w:r>
        <w:rPr>
          <w:rFonts w:ascii="Century Gothic" w:hAnsi="Century Gothic"/>
          <w:b/>
          <w:sz w:val="20"/>
          <w:szCs w:val="20"/>
        </w:rPr>
      </w:r>
    </w:p>
    <w:p>
      <w:pPr>
        <w:pStyle w:val="Normal"/>
        <w:jc w:val="both"/>
        <w:rPr>
          <w:rFonts w:ascii="Century Gothic" w:hAnsi="Century Gothic"/>
          <w:b/>
          <w:b/>
          <w:sz w:val="20"/>
          <w:szCs w:val="20"/>
        </w:rPr>
      </w:pPr>
      <w:r>
        <w:rPr>
          <w:rFonts w:ascii="Century Gothic" w:hAnsi="Century Gothic"/>
          <w:b/>
          <w:sz w:val="20"/>
          <w:szCs w:val="20"/>
        </w:rPr>
        <w:t>Artículo 6.</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Las tarifas del Impuesto sobre Actividades Económicas y las Instrucciones aprobadas por Real Decreto Legislativo 1175/90, de 28 de septiembre y Real Decreto Legislativo 1259/1991, de 2 de agosto, comprenden:</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ListParagraph"/>
        <w:numPr>
          <w:ilvl w:val="0"/>
          <w:numId w:val="3"/>
        </w:numPr>
        <w:tabs>
          <w:tab w:val="left" w:pos="1229" w:leader="none"/>
        </w:tabs>
        <w:rPr>
          <w:rFonts w:ascii="Century Gothic" w:hAnsi="Century Gothic"/>
          <w:sz w:val="20"/>
          <w:szCs w:val="20"/>
        </w:rPr>
      </w:pPr>
      <w:r>
        <w:rPr>
          <w:rFonts w:ascii="Century Gothic" w:hAnsi="Century Gothic"/>
          <w:sz w:val="20"/>
          <w:szCs w:val="20"/>
        </w:rPr>
        <w:t>La descripción y contenido de las distintas actividades económicas, clasificadas en actividades empresariales, profesionales y artísticas.</w:t>
      </w:r>
    </w:p>
    <w:p>
      <w:pPr>
        <w:pStyle w:val="ListParagraph"/>
        <w:numPr>
          <w:ilvl w:val="0"/>
          <w:numId w:val="3"/>
        </w:numPr>
        <w:tabs>
          <w:tab w:val="left" w:pos="1229" w:leader="none"/>
        </w:tabs>
        <w:rPr>
          <w:rFonts w:ascii="Century Gothic" w:hAnsi="Century Gothic"/>
          <w:sz w:val="20"/>
          <w:szCs w:val="20"/>
        </w:rPr>
      </w:pPr>
      <w:r>
        <w:rPr>
          <w:rFonts w:ascii="Century Gothic" w:hAnsi="Century Gothic"/>
          <w:sz w:val="20"/>
          <w:szCs w:val="20"/>
        </w:rPr>
        <w:t>Las cuotas correspondientes a cada actividad, determinadas mediante la aplicación de los correspondientes elementos tributarios regulados en las tarifas y en la Instrucción.</w:t>
      </w:r>
    </w:p>
    <w:p>
      <w:pPr>
        <w:pStyle w:val="ListParagraph"/>
        <w:tabs>
          <w:tab w:val="left" w:pos="1229" w:leader="none"/>
        </w:tabs>
        <w:ind w:left="1080" w:hanging="0"/>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Las cuotas contenidas en las tarifas se clasifican en:</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a) Cuotas mínimas municipales.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b) Cuotas provinciales.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c) Cuotas nacionales.</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t xml:space="preserve">Artículo 7.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Son cuotas mínimas municipales, las que con tal denominación aparecen específicamente señaladas en las tarifas, sumando, en su caso, el elemento superficie de los locales en los que se realicen las actividades gravadas, así como cualesquiera otras que no tengan la calificación expresa, en las referidas tarifas de cuotas provinciales o nacionales.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Igual consideración de cuotas mínimas municipales tendrán aquellas que, por aplicación de lo dispuesto en la Regla 14.1.F) de la instrucción aprobada por el Real Decreto antes citado, su importe está integrado, exclusivamente, por el valor del elemento tributario superficie.</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Si una misma actividad se ejerce en varios locales, el sujeto pasivo estará obligado a satisfacer tantas cuotas mínimas municipales, incrementadas con los coeficientes regulados en los artículos 14 y 15, como locales en los que ejerza la actividad. Si en un mismo local se ejercen varias actividades, se satisfarán tantas cuotas mínimas municipales como actividades se realicen, aunque el titular de éstas sea la misma persona o entidad.</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4. Las actuaciones que realicen los profesionales fuera del término municipal en el que radique el local en el que ejerzan su actividad, no darán lugar al pago de ninguna otra cuota, ni mínima municipal ni provincial ni nacional.</w:t>
      </w:r>
    </w:p>
    <w:p>
      <w:pPr>
        <w:pStyle w:val="Normal"/>
        <w:tabs>
          <w:tab w:val="left" w:pos="1229" w:leader="none"/>
        </w:tabs>
        <w:jc w:val="both"/>
        <w:rPr>
          <w:rFonts w:ascii="Century Gothic" w:hAnsi="Century Gothic"/>
          <w:sz w:val="20"/>
          <w:szCs w:val="20"/>
        </w:rPr>
      </w:pPr>
      <w:r>
        <w:rPr>
          <w:rFonts w:ascii="Century Gothic" w:hAnsi="Century Gothic"/>
          <w:sz w:val="20"/>
          <w:szCs w:val="20"/>
        </w:rPr>
        <w:t>5. Los profesionales que no ejerzan su actividad en local determinado, y los artistas, satisfarán la cuota correspondiente al lugar en el que realicen sus actividades, pudiendo llevar a cabo, fuera del mismo cuantas actuaciones sean propias de dichas actividades.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8.</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Son cuotas nacionales o provinciales las que con tales denominaciones aparecen en las tarifas.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9.</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Cuando la actividad de que se trate tenga asignada más de una de las clases de cuotas a las que se refiere el artículo 6, el sujeto pasivo podrá optar por el pago de cualquiera de ellas con las facultades reseñadas en las Reglas 10, 11 y 12 respectivamente de la Instrucción del impuesto.</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10.</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A efectos de lo previsto en el artículo 6.1.b) de esta ordenanza y en la Regla 1.ªb) de la Instrucción, se consideran elementos tributarios aquellos Módulos indiciarios de la actividad, configurados por las tarifas, o por la Instrucción, para la determinación de las cuotas.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11.</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De conformidad con lo dispuesto en la Base Cuarta del artículo 85.1 del texto refundido de la Ley reguladora de las Haciendas Locales, las cuotas consignadas en las Secciones 1.ª y 2.ª de las tarifas se completarán con la cantidad que resulte de aplicar el elemento tributario constituido por la superficie de los locales en los que se realicen las actividades empresariales, en los términos previstos en la Regla 14.1.7 de la Instrucción.</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12.</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A los efectos del Impuesto sobre Actividades Económicas, se consideran locales las edificaciones, construcciones e instalaciones, así como las superficies cubiertas o sin cubrir, abiertas o no al público, que se utilicen para cualesquiera actividades empresariales o profesionales.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No tienen, sin embargo, la consideración de locales a efectos de este impuesto:</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a) Las explotaciones en las que se ejerzan las actividades mineras. Cuando dentro del perímetro de la explotación minera, el sujeto pasivo realice actividades de preparación u otras a que le faculten las tarifas del impuesto, las construcciones o instalaciones en las que las mismas se ejerzan, si tendrán consideración de locales.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b) Las explotaciones en las que se ejerzan las actividades de extracción de petróleo, gas natural y captación de agua.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c) Las centrales de producción de energía eléctrica.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 Las redes de suministro, oleoductos, gaseoductos, etc., donde se ejercen las actividades de transporte y distribución de energía eléctrica (incluyendo las estaciones de transformación), así como las de distribución de crudos de petróleo, gas natural, gas ciudad y vapor. Tampoco tendrán la consideración de local las redes de suministro y demás instalaciones afectas a la distribución de agua a núcleos urbanos, ni las plantas e instalaciones de tratamiento de la misma.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e) Las obras, instalaciones y montajes objeto de la actividad de construcción, incluyendo oficinas, barracones y demás construcciones temporales sitas a pie de obra y que se utilicen exclusivamente durante el tiempo de ejecución de la obra, instalación o montaje.</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f) Los inmuebles en los que se instalen los contadores de agua, gas y electricidad objeto de alquiler, lectura y conservación, a los solos efectos de dichas actividades y sin perjuicio de la consideración que puedan tener aquellos a efectos de otras actividades.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g) Los inmuebles en los que se instalen máquinas o aparatos automáticos, expositores en depósito, máquinas recreativas y similares, a los solos efectos de las actividades que se prestan o realizan a través de los referidos elementos, y sin perjuicio de la consideración que aquellos inmuebles puedan tener a efectos de otras actividades.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h) Los bienes inmuebles, tanto de naturaleza rústica como urbana, objeto de las actividades de alquiler y venta de dichos bienes. Tampoco tendrán la consideración de locales las oficinas de información instaladas en los bienes inmuebles objeto de promoción inmobiliaria.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i) Las autopistas, carreteras, puentes y túneles de peaje, cuya explotación constituya actividad gravada por el impuesto.</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j) Las pistas de aterrizaje, hangares y los puertos, excepto las construcciones.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En consecuencia, las instalaciones especificadas en las letras anteriores, no se considerarán a efectos del elemento tributario “superficie” regulado en la Regla 14.1.F) de la Instrucción del impuesto, ni tampoco a efectos del coeficiente de situación previsto en el artículo 87 del texto refundido de la Ley reguladora de las Haciendas Locales.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A efectos de la determinación del elemento tributario “superficie de los locales” y de acuerdo con lo dispuesto en la letra f) de la Disposición Adicional cuarta de la Ley 51/2002, de 27 de diciembre, no sólo no se computará, sino que se deducirá específicamente de la superficie correspondiente a los elementos directamente afectos a la actividad gravada: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1 La superficie destinada a guardería o cuidado de hijos del personal o clientes del sujeto pasivo.</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2 La superficie destinada a actividades socioculturales del personal del sujeto pasivo.</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Lo dispuesto en este apartado también se aplicará a efectos de la determinación de aquellas cuotas para cuyo cálculo las tarifas del impuesto tengan en cuenta expresamente, como elemento tributario, la superficie de los locales, computada en metros cuadrados, en los que se ejerzan las actividades correspondientes.</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La superficie a deducir en virtud de lo indicado no podrá exceder del 10 por 100 de la superficie computable correspondiente a los elementos directamente afectos a la actividad gravada.</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4. Se consideran locales separados: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 xml:space="preserve">a) Los que estuvieren por calles, caminos o paredes continuas, sin hueco de paso en éstas.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b) Los situados en un mismo edificio o edificios contiguos que tengan puertas diferentes para el servicio del público y se hallen divididos en cualquier forma perceptible, aun cuando para su dueño se comuniquen interiormente.</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c) Los departamentos o secciones de un local único, cuando estando divididos de forma perceptible puedan ser fácilmente aislados y en ellos se ejerza distinta actividad.</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 Los pisos de un edificio, tengan o no comunicación interior, salvo cuando en ellos se ejerza la misma actividad por un solo titular.</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e) Los puestos, cajones y compartimentos en las ferias, mercados o exposiciones permanentes, siempre que se hallen aislados o independientes para la colocación y venta de los géneros, aunque existan entradas y salidas comunes a todos ellos.</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Cuando se trate de fabricantes que efectúen las fases de fabricación de un determinado producto en instalaciones no situadas dentro de un mismo recinto, pero que integren una unidad de explotación, se considerará el conjunto de todas como un solo local siempre que dichas fases no constituyan por sí actividad que tenga señalada en las tarifas tributación independiente. Este criterio de unidad de local se aplicará también en aquellos casos en los que las instalaciones de un establecimiento de hospedaje o deportivas no estén ubicadas en el mismo recinto.</w:t>
      </w:r>
    </w:p>
    <w:p>
      <w:pPr>
        <w:pStyle w:val="Normal"/>
        <w:tabs>
          <w:tab w:val="left" w:pos="1229" w:leader="none"/>
        </w:tabs>
        <w:jc w:val="both"/>
        <w:rPr>
          <w:rFonts w:ascii="Century Gothic" w:hAnsi="Century Gothic"/>
          <w:sz w:val="20"/>
          <w:szCs w:val="20"/>
        </w:rPr>
      </w:pPr>
      <w:r>
        <w:rPr>
          <w:rFonts w:ascii="Century Gothic" w:hAnsi="Century Gothic"/>
          <w:sz w:val="20"/>
          <w:szCs w:val="20"/>
        </w:rPr>
        <w:t>5. Cuando un bien se destine conjuntamente a vivienda y al ejercicio de una actividad gravada, sólo tendrá la consideración de local a efectos del impuesto, la parte del bien en la que, efectivamente, se ejerza la actividad de que se trate.</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13.</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La cuota tributaria será la resultante de aplicar las tarifas del impuesto de acuerdo con los preceptos contenidos en el texto refundido de la Ley reguladora de las Haciendas Locales y en las disposiciones que lo complementen y desarrollen, y los coeficientes y las bonificaciones previstos por la ley y, en su caso, acordados por este Ayuntamiento y regulados en la presente ordenanza.</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14. Coeficiente de ponderación.</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De conformidad con lo establecido en el artículo 86 del texto refundido de la Ley reguladora de las Haciendas Locales sobre las cuotas resultantes de las tarifas del impuesto, se aplicará, en todo caso, un coeficiente de ponderación, determinado en función del importe neto de la cifra de negocios del sujeto pasivo.</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Dicho coeficiente se determinará de acuerdo con el siguiente cuadro:</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both"/>
        <w:rPr>
          <w:rFonts w:ascii="Century Gothic" w:hAnsi="Century Gothic"/>
          <w:sz w:val="20"/>
          <w:szCs w:val="20"/>
        </w:rPr>
      </w:pPr>
      <w:r>
        <w:rPr>
          <w:rFonts w:ascii="Century Gothic" w:hAnsi="Century Gothic"/>
          <w:b/>
          <w:bCs/>
          <w:sz w:val="20"/>
          <w:szCs w:val="20"/>
        </w:rPr>
        <w:t>Importe neto de la cifra de negocios Coeficiente</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Desde 1.000.000,00 hasta 5.000.000,00          1,29</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Desde 5.000.000,01 hasta 10.000.000,00        1,30</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Desde 10.000.000,01 hasta 50.000.000,00      1,32</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Desde 50.000.000,01 hasta 100.000.000,00    1,33</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Más de 100.000.000,00                                     1,35</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Sin cifra neta de negocio                                1,31</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A los efectos de la aplicación del coeficiente a que se refiere este artículo, el importe neto de la cifra de negocios del sujeto pasivo será el correspondiente al conjunto de actividades económicas ejercidas por el mismo y se determinará de acuerdo con lo previsto en el párrafo c) del apartado 1 del artículo 82 del texto refundido de la Ley reguladora de las Haciendas Locales.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15. Coeficiente de situación.</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trike/>
          <w:sz w:val="20"/>
          <w:szCs w:val="20"/>
        </w:rPr>
      </w:pPr>
      <w:r>
        <w:rPr>
          <w:rFonts w:ascii="Century Gothic" w:hAnsi="Century Gothic"/>
          <w:strike/>
          <w:sz w:val="20"/>
          <w:szCs w:val="20"/>
        </w:rPr>
        <w:t>1. De acuerdo con lo prevenido en el artículo 87 del texto refundido de la Ley reguladora de las Haciendas Locales, no se aplicará sobre las cuotas modificadas por la aplicación del coeficiente de ponderación ningún coeficiente de situación.</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t xml:space="preserve">A los efectos previstos en el artículo 87 del Texto Refundido de la Ley Reguladora de las Haciendas Locales, aprobado por Real Decreto Legislativo 2/2004, de 5 de marzo, las vías públicas de este municipio se clasifican en 2 categorías fiscales. </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t>Una categoría PRIMERA formada por las vías:</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AVDA. AVIACIÓN ESPAÑOLA.</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AVDA. PÁRROCO ANTONIO LÓPEZ MARTÍNEZ.</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AVDA. PINATAR.</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AVDA. SANDOVAL.</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 ISLA DE LOBOS.</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 ISLA EL HIERRO.</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 ISLA GRACIOSA.</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 ISLA SANTA ELENA.</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PLAZA MAESTRE</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t>Una categoría SEGUNDA, formada por todas aquellas vías no incluidas en la categoría PRIMERA.</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t xml:space="preserve">Sobre las cuotas incrementadas por aplicación del coeficiente de ponderación establecido en el artículo anterior, y atendiendo a la categoría fiscal de la vía pública donde radica físicamente el local en que se realiza la actividad económica, se establece la tabla de coeficientes siguiente: </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Categoría fiscal PRIMERA: coeficiente de situación 2,1</w:t>
      </w:r>
    </w:p>
    <w:p>
      <w:pPr>
        <w:pStyle w:val="ListParagraph"/>
        <w:numPr>
          <w:ilvl w:val="0"/>
          <w:numId w:val="1"/>
        </w:numPr>
        <w:tabs>
          <w:tab w:val="left" w:pos="1229" w:leader="none"/>
        </w:tabs>
        <w:rPr>
          <w:rFonts w:ascii="Century Gothic" w:hAnsi="Century Gothic"/>
          <w:color w:val="FF0000"/>
          <w:sz w:val="20"/>
          <w:szCs w:val="20"/>
        </w:rPr>
      </w:pPr>
      <w:r>
        <w:rPr>
          <w:rFonts w:ascii="Century Gothic" w:hAnsi="Century Gothic"/>
          <w:color w:val="FF0000"/>
          <w:sz w:val="20"/>
          <w:szCs w:val="20"/>
        </w:rPr>
        <w:t>Categoría fiscal SEGUNDA: coeficiente de situación 1,6</w:t>
      </w:r>
    </w:p>
    <w:p>
      <w:pPr>
        <w:pStyle w:val="Normal"/>
        <w:tabs>
          <w:tab w:val="left" w:pos="1229" w:leader="none"/>
        </w:tabs>
        <w:jc w:val="both"/>
        <w:rPr>
          <w:rFonts w:ascii="Century Gothic" w:hAnsi="Century Gothic"/>
          <w:color w:val="FF0000"/>
          <w:sz w:val="20"/>
          <w:szCs w:val="20"/>
        </w:rPr>
      </w:pPr>
      <w:r>
        <w:rPr>
          <w:rFonts w:ascii="Century Gothic" w:hAnsi="Century Gothic"/>
          <w:color w:val="FF0000"/>
          <w:sz w:val="20"/>
          <w:szCs w:val="20"/>
        </w:rPr>
      </w:r>
    </w:p>
    <w:p>
      <w:pPr>
        <w:pStyle w:val="Normal"/>
        <w:tabs>
          <w:tab w:val="left" w:pos="1229" w:leader="none"/>
        </w:tabs>
        <w:ind w:firstLine="720"/>
        <w:jc w:val="center"/>
        <w:rPr>
          <w:rFonts w:ascii="Century Gothic" w:hAnsi="Century Gothic"/>
          <w:sz w:val="20"/>
          <w:szCs w:val="20"/>
        </w:rPr>
      </w:pPr>
      <w:r>
        <w:rPr>
          <w:rFonts w:ascii="Century Gothic" w:hAnsi="Century Gothic"/>
          <w:b/>
          <w:bCs/>
          <w:sz w:val="20"/>
          <w:szCs w:val="20"/>
        </w:rPr>
        <w:t>Capítulo VI. Bonificaciones y reducciones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16.</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De acuerdo con lo dispuesto en el artículo 88.1 del texto refundido de la Ley reguladora de las Haciendas Locales, sobre la cuota del impuesto, se aplicarán, en todo caso, las siguientes bonificaciones: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a) Las cooperativas, así como las uniones, federaciones y confederaciones de las mismas y las sociedades agrarias de transformación tendrán la bonificación prevista en la Ley 20/1990, de 19 de diciembre, sobre Régimen Fiscal de las Cooperativas.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b) Una bonificación del 50 por 100 de la cuota correspondiente, para quienes inicien el ejercicio de cualquier actividad profesional, durante los cinco años de actividad siguientes a la conclusión del segundo período impositivo de desarrollo de la misma.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El período de aplicación de la bonificación caducará transcurridos cinco años desde la finalización de la exención prevista en el apartado 1 del artículo 5.º de esta ordenanza.</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Una bonificación del 50% de la cuota correspondiente, para quienes inicien el ejercicio de cualquier actividad empresarial y tributen por cuota municipal, durante los cinco años siguientes a la conclusión del segundo período impositivo de desarrollo de la misma.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La aplicación de la bonificación requerirá que la actividad económica no se haya ejercido anteriormente bajo otra titularidad.</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Se entenderá que la actividad se ha ejercido anteriormente bajo otra titularidad, entre otros, en los supuestos de fusión, escisión ó aportación de ramas de actividad.</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El período de aplicación de la bonificación caducará transcurridos cinco años desde la finalización de la exención prevista en el párrafo b del apartado 1 del artículo 82 del texto refundido de la Ley Reguladora de las Haciendas Locales.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La bonificación se aplicará a la cuota tributaria, integrada por la cuota de tarifa ponderada por el coeficiente establecido en el artículo 86 y modificada, en su caso, por el coeficiente establecido en el artículo 87 de dicha Ley. En el supuesto de que resultase aplicable la bonificación a que alude el párrafo a del apartado 1 anterior, la bonificación prevista en este párrafo se aplicará a la cuota resultante de aplicar la bonificación del citado párrafo a del apartado 1.</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 xml:space="preserve">3. Una bonificación por creación de empleo de hasta el 50% de la cuota correspondiente, para los sujetos pasivos que tributen por cuota municipal y que hayan incrementado el promedio de su plantilla de trabajadores con contrato indefinido durante el período impositivo inmediato anterior al de la aplicación de la bonificación, en relación con el período anterior a aquél.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La bonificación se aplicará a la cuota resultante de aplicar, en su caso, las bonificaciones a que se refieren el apartado 1 de este artículo y el párrafo a anterior.</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4. Una bonificación de hasta el 50% de la cuota correspondiente para los sujetos pasivos que tributen por cuota municipal y que:</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1 Utilicen o produzcan energía a partir de instalaciones para el aprovechamiento de energías renovables o sistemas de cogeneración.</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A estos efectos, se considerarán instalaciones para el aprovechamiento de las energías renovables las contempladas y definidas como tales en el Plan de Fomento de las Energías Renovables. Se considerarán sistemas de cogeneración los equipos e instalaciones que permitan la producción conjunta de electricidad y energía térmica útil.</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2 Realicen sus actividades industriales, desde el inicio de su actividad o por traslado posterior, en locales o instalaciones alejadas de las zonas más pobladas del término municipal.</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3 Establezcan un plan de transporte para sus trabajadores que tenga por objeto reducir el consumo de energía y las emisiones causadas por el desplazamiento al lugar del puesto de trabajo y fomentar el empleo de los medios de transporte más eficientes, como el transporte colectivo o el compartido.</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 xml:space="preserve">La bonificación se aplicará a la cuota resultante de aplicar, en su caso, las bonificaciones a que se refieren el apartado 1 de este artículo y los párrafos a y b anteriores. </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La bonificación no afecta al recargo provincial, que recaerá sobre las cuotas mínimas y su tipo será el aprobado por la Comunidad Autónoma.</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5. El plazo para solicitar bonificaciones se iniciará en la fecha del devengo del impuesto, finalizando el día 31 d enero, o día hábil inmediato posterior, para que surta efecto en el padrón del impuesto del ejercicio en el que se soliciten. Las solicitudes presentadas fuera de plazo surtirán efectos para el ejercicio siguiente, en tanto reúnan los requisitos exigidos para su concesión. Las bonificaciones no tendrán efecto retroactivo.</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6. Cuando se trate de declaraciones de alta los sujetos pasivos que tengan derecho a las bonificaciones reguladas en los apartados anteriores, por cumplir los requisitos establecidos para su disfrute, aplicarán la bonificación correspondiente en su propia autoliquidación, sin perjuicio de la oportuna comprobación por la Administración municipal.</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Cuando deban aplicarse varias bonificaciones en la misma cuota se aplicará primero la mayor y sobre la cuota líquida resultante, la siguiente en cuantía, y así sucesivamente las demás.</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center"/>
        <w:rPr>
          <w:rFonts w:ascii="Century Gothic" w:hAnsi="Century Gothic"/>
          <w:sz w:val="20"/>
          <w:szCs w:val="20"/>
        </w:rPr>
      </w:pPr>
      <w:r>
        <w:rPr>
          <w:rFonts w:ascii="Century Gothic" w:hAnsi="Century Gothic"/>
          <w:b/>
          <w:bCs/>
          <w:sz w:val="20"/>
          <w:szCs w:val="20"/>
        </w:rPr>
        <w:t>Capítulo VII. Periodo impositivo y devengo</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 xml:space="preserve">Artículo 17.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El período impositivo coincide con el año natural, excepto cuando se trate de declaraciones de alta, en cuyo caso abarcará desde la fecha de comienzo de la actividad hasta el final del año natural.</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El impuesto se devenga el primer día del período impositivo y las cuotas serán irreducibles, salvo cuando, en los casos de declaración de alta, el día de comienzo de la actividad no coincida con el año natural, en cuyo supuesto las cuotas se calcularán proporcionalmente al número de trimestres naturales que restan para finalizar el año, incluido el del comienzo del ejercicio de la actividad.</w:t>
      </w:r>
    </w:p>
    <w:p>
      <w:pPr>
        <w:pStyle w:val="Normal"/>
        <w:tabs>
          <w:tab w:val="left" w:pos="1229" w:leader="none"/>
        </w:tabs>
        <w:jc w:val="both"/>
        <w:rPr>
          <w:rFonts w:ascii="Century Gothic" w:hAnsi="Century Gothic"/>
          <w:sz w:val="20"/>
          <w:szCs w:val="20"/>
        </w:rPr>
      </w:pPr>
      <w:r>
        <w:rPr>
          <w:rFonts w:ascii="Century Gothic" w:hAnsi="Century Gothic"/>
          <w:sz w:val="20"/>
          <w:szCs w:val="20"/>
        </w:rPr>
        <w:t>Asimismo, y en el caso de baja por cese en el ejercicio de la actividad, las cuotas serán prorrateables por trimestres naturales, excluido aquel en el que se produzca dicho cese. A tal fin los sujetos pasivos podrán solicitar la devolución de la parte de la cuota correspondiente a los trimestres naturales en los que no se hubiere ejercido la actividad.</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Los sujetos pasivos que figuren dados de alta en alguno de los epígrafes 833.1, 833.2, 965.1, 965. 2 y 965.5 de la Sección 1 de las Tarifas del I.A.E., devengarán en el mes de enero de cada año la parte correspondiente a los metros vendidos o espectáculos celebrados en el ejercicio anterior. En el caso de cese en la actividad, la declaración complementaria habrá de presentarse junto con la declaración de baja.</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center"/>
        <w:rPr>
          <w:rFonts w:ascii="Century Gothic" w:hAnsi="Century Gothic"/>
          <w:sz w:val="20"/>
          <w:szCs w:val="20"/>
        </w:rPr>
      </w:pPr>
      <w:r>
        <w:rPr>
          <w:rFonts w:ascii="Century Gothic" w:hAnsi="Century Gothic"/>
          <w:b/>
          <w:bCs/>
          <w:sz w:val="20"/>
          <w:szCs w:val="20"/>
        </w:rPr>
        <w:t>Capítulo VIII. Gestión del impuesto</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18.</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l. Es competencia municipal la gestión tributaria de este impuesto, que comprende las funciones de concesión y denegación de bonificaciones y exenciones, realización de las liquidaciones conducentes a la determinación de las deudas tributarias, emisión de los instrumentos de cobro, resolución de los expedientes de devolución de ingresos indebidos, resolución de los recursos que se interpongan contra dichos actos y actuaciones para la información y asistencia al contribuyente.</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En los supuestos de declaraciones de alta por inicio de actividad, el impuesto se exige en régimen de autoliquidación.</w:t>
      </w:r>
    </w:p>
    <w:p>
      <w:pPr>
        <w:pStyle w:val="Normal"/>
        <w:tabs>
          <w:tab w:val="left" w:pos="1229" w:leader="none"/>
        </w:tabs>
        <w:jc w:val="both"/>
        <w:rPr>
          <w:rFonts w:ascii="Century Gothic" w:hAnsi="Century Gothic"/>
          <w:sz w:val="20"/>
          <w:szCs w:val="20"/>
        </w:rPr>
      </w:pPr>
      <w:r>
        <w:rPr>
          <w:rFonts w:ascii="Century Gothic" w:hAnsi="Century Gothic"/>
          <w:sz w:val="20"/>
          <w:szCs w:val="20"/>
        </w:rPr>
        <w:t>El procedimiento de presentación y régimen de ingreso en este caso se regula en el artículo siguiente.</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Las cuotas exigibles en los ejercicios siguientes a aquel en que tuvo lugar el alta se gestionarán por el sistema de padrón y se satisfarán en el período que para general conocimiento anunciará el Ayuntamiento, que no podrá ser inferior a dos meses naturales.</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4. Transcurrido el período de pago voluntario sin que se haya satisfecho la deuda, se iniciará el período ejecutivo.</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19. Presentación de autoliquidaciones.</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A efectos de presentar la autoliquidación cuando exista convenio para ello con la Agencia Tributaria, el interesado cumplimentará el impreso aprobado por el Ayuntamiento, haciendo constar los elementos tributarios determinantes de la cuota a ingresar.</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La autoliquidación se podrá presentar por el interesado o su representante en las oficinas municipales donde se prestará al contribuyente toda la asistencia necesaria para la práctica de sus declaraciones.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20. Declaración de variación.</w:t>
      </w:r>
    </w:p>
    <w:p>
      <w:pPr>
        <w:pStyle w:val="Normal"/>
        <w:tabs>
          <w:tab w:val="left" w:pos="1229" w:leader="none"/>
        </w:tabs>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Las variaciones de los elementos tributarios deberán ser declaradas ante el Ayuntamiento, en el caso de existir convenio, en el plazo de un mes contado desde el día en que tuvieron lugar. Practicará, en su caso, las liquidaciones y regularizaciones de cuota que resulten procedentes.</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Con carácter general, las oscilaciones en más o menos no superiores al 20 por 100 de los elementos tributarios no alterarán la cuantía de las cuotas por las que se venga tributando. Cuando las oscilaciones de referencia fuesen superiores al porcentaje indicado, las mismas tendrán la consideración de variaciones y deberán ser declaradas en la forma y plazo fijados en el punto anterior.</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Cuando uno cualquiera de los elementos tenidos en cuenta para el cálculo de las cuotas experimente una oscilación superior a los porcentajes señalados en los puntos anteriores, la declaración de variación que ha de formularse deberá contener la situación de todos los elementos tributarios en el momento en que se ha producido la oscilación que se declara.</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 xml:space="preserve">Artículo 21.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1. Por delegación de la Administración Tributaria del Estado, podrá el Ayuntamiento, en relación con las cuotas municipales, efectuar la formación de la Matrícula del Impuesto, la calificación de las actividades económicas, el señalamiento de las cuotas correspondientes y, en general, la gestión censal del tributo.</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2. Por delegación del Ministerio de Economía y Hacienda, el Ayuntamiento podrá ejercer las funciones de inspección del Impuesto sobre Actividades Económicas, que comprenderán la comprobación y la investigación, la práctica de liquidaciones tributarias que resulten procedentes y la notificación de la inclusión, exclusión o alteración de los datos contenidos en los censos; todo ello referido exclusivamente a los supuestos de tributación por cuota municipal.</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3. El plazo de ingreso en periodo voluntario abarcará desde el día siguiente a la publicación del anuncio de cobranza del Padrón, hasta el día 30 de septiembre o el inmediato hábil posterior, en todo caso dicho plazo, será como mínimo de dos meses a contar desde el día siguiente a la publicación del anuncio de cobranza.</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center"/>
        <w:rPr>
          <w:rFonts w:ascii="Century Gothic" w:hAnsi="Century Gothic"/>
          <w:sz w:val="20"/>
          <w:szCs w:val="20"/>
        </w:rPr>
      </w:pPr>
      <w:r>
        <w:rPr>
          <w:rFonts w:ascii="Century Gothic" w:hAnsi="Century Gothic"/>
          <w:b/>
          <w:bCs/>
          <w:sz w:val="20"/>
          <w:szCs w:val="20"/>
        </w:rPr>
        <w:t>Capítulo IX. Infracciones y sanciones</w:t>
      </w:r>
    </w:p>
    <w:p>
      <w:pPr>
        <w:pStyle w:val="Normal"/>
        <w:tabs>
          <w:tab w:val="left" w:pos="1229" w:leader="none"/>
        </w:tabs>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jc w:val="both"/>
        <w:rPr>
          <w:rFonts w:ascii="Century Gothic" w:hAnsi="Century Gothic"/>
          <w:sz w:val="20"/>
          <w:szCs w:val="20"/>
        </w:rPr>
      </w:pPr>
      <w:r>
        <w:rPr>
          <w:rFonts w:ascii="Century Gothic" w:hAnsi="Century Gothic"/>
          <w:b/>
          <w:bCs/>
          <w:sz w:val="20"/>
          <w:szCs w:val="20"/>
        </w:rPr>
        <w:t>Artículo 22.</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jc w:val="both"/>
        <w:rPr>
          <w:rFonts w:ascii="Century Gothic" w:hAnsi="Century Gothic"/>
          <w:sz w:val="20"/>
          <w:szCs w:val="20"/>
        </w:rPr>
      </w:pPr>
      <w:r>
        <w:rPr>
          <w:rFonts w:ascii="Century Gothic" w:hAnsi="Century Gothic"/>
          <w:sz w:val="20"/>
          <w:szCs w:val="20"/>
        </w:rPr>
        <w:t xml:space="preserve">En todo lo relativo a la calificación de las infracciones tributarias, así como a la determinación de las sanciones que correspondan en cada caso, se aplicará el régimen regulado en la Ley General Tributaria y disposiciones que la complementen y desarrollen, y en el Reglamento General de Recaudación. </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center"/>
        <w:rPr>
          <w:rFonts w:ascii="Century Gothic" w:hAnsi="Century Gothic"/>
          <w:sz w:val="20"/>
          <w:szCs w:val="20"/>
        </w:rPr>
      </w:pPr>
      <w:r>
        <w:rPr>
          <w:rFonts w:ascii="Century Gothic" w:hAnsi="Century Gothic"/>
          <w:b/>
          <w:bCs/>
          <w:sz w:val="20"/>
          <w:szCs w:val="20"/>
        </w:rPr>
        <w:t>Disposiciones Finales</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both"/>
        <w:rPr>
          <w:rFonts w:ascii="Century Gothic" w:hAnsi="Century Gothic"/>
          <w:sz w:val="20"/>
          <w:szCs w:val="20"/>
        </w:rPr>
      </w:pPr>
      <w:r>
        <w:rPr>
          <w:rFonts w:ascii="Century Gothic" w:hAnsi="Century Gothic"/>
          <w:b/>
          <w:bCs/>
          <w:sz w:val="20"/>
          <w:szCs w:val="20"/>
        </w:rPr>
        <w:t>Primera</w:t>
      </w:r>
      <w:r>
        <w:rPr>
          <w:rFonts w:ascii="Century Gothic" w:hAnsi="Century Gothic"/>
          <w:sz w:val="20"/>
          <w:szCs w:val="20"/>
        </w:rPr>
        <w:t xml:space="preserve">.- La entrada en vigor de la presente Ordenanza se producirá, una vez publicado el texto íntegro en el Boletín Oficial de la Región de Murcia, </w:t>
      </w:r>
      <w:r>
        <w:rPr>
          <w:rFonts w:ascii="Century Gothic" w:hAnsi="Century Gothic"/>
          <w:sz w:val="20"/>
          <w:szCs w:val="20"/>
          <w:highlight w:val="yellow"/>
        </w:rPr>
        <w:t>cuando hayan transcurrido 15 días contados</w:t>
      </w:r>
      <w:r>
        <w:rPr>
          <w:rFonts w:ascii="Century Gothic" w:hAnsi="Century Gothic"/>
          <w:sz w:val="20"/>
          <w:szCs w:val="20"/>
        </w:rPr>
        <w:t xml:space="preserve"> desde la recepción por la Administración del Estado y la de la Comunidad Autónoma de la comunicación del acuerdo municipal que debe remitirles el Ayuntamiento (artículos 70.2 y 65.2 de la Ley 7/1.985, de 2 de abril, Reguladora de las Bases de Régimen Local).</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both"/>
        <w:rPr>
          <w:rFonts w:ascii="Century Gothic" w:hAnsi="Century Gothic"/>
          <w:sz w:val="20"/>
          <w:szCs w:val="20"/>
        </w:rPr>
      </w:pPr>
      <w:r>
        <w:rPr>
          <w:rFonts w:ascii="Century Gothic" w:hAnsi="Century Gothic"/>
          <w:b/>
          <w:bCs/>
          <w:sz w:val="20"/>
          <w:szCs w:val="20"/>
        </w:rPr>
        <w:t>Segunda</w:t>
      </w:r>
      <w:r>
        <w:rPr>
          <w:rFonts w:ascii="Century Gothic" w:hAnsi="Century Gothic"/>
          <w:sz w:val="20"/>
          <w:szCs w:val="20"/>
        </w:rPr>
        <w:t xml:space="preserve">.- La Alcaldía queda facultada para dictar cuantas órdenes o instrucciones resulten necesarias para la adecuada interpretación, desarrollo y aplicación de este Reglamento. </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both"/>
        <w:rPr>
          <w:rFonts w:ascii="Century Gothic" w:hAnsi="Century Gothic"/>
          <w:sz w:val="20"/>
          <w:szCs w:val="20"/>
        </w:rPr>
      </w:pPr>
      <w:r>
        <w:rPr>
          <w:rFonts w:ascii="Century Gothic" w:hAnsi="Century Gothic"/>
          <w:b/>
          <w:bCs/>
          <w:sz w:val="20"/>
          <w:szCs w:val="20"/>
        </w:rPr>
        <w:t>Tercera</w:t>
      </w:r>
      <w:r>
        <w:rPr>
          <w:rFonts w:ascii="Century Gothic" w:hAnsi="Century Gothic"/>
          <w:sz w:val="20"/>
          <w:szCs w:val="20"/>
        </w:rPr>
        <w:t xml:space="preserve">.- En todo lo no previsto en la presente Ordenanza, regirán las Ordenanzas Generales de la Corporación y demás normas tributarias aplicables. </w:t>
      </w:r>
    </w:p>
    <w:p>
      <w:pPr>
        <w:pStyle w:val="Normal"/>
        <w:tabs>
          <w:tab w:val="left" w:pos="1229" w:leader="none"/>
        </w:tabs>
        <w:ind w:firstLine="720"/>
        <w:jc w:val="both"/>
        <w:rPr>
          <w:rFonts w:ascii="Century Gothic" w:hAnsi="Century Gothic"/>
          <w:b/>
          <w:b/>
          <w:bCs/>
          <w:sz w:val="20"/>
          <w:szCs w:val="20"/>
        </w:rPr>
      </w:pPr>
      <w:r>
        <w:rPr>
          <w:rFonts w:ascii="Century Gothic" w:hAnsi="Century Gothic"/>
          <w:b/>
          <w:bCs/>
          <w:sz w:val="20"/>
          <w:szCs w:val="20"/>
        </w:rPr>
      </w:r>
    </w:p>
    <w:p>
      <w:pPr>
        <w:pStyle w:val="Normal"/>
        <w:tabs>
          <w:tab w:val="left" w:pos="1229" w:leader="none"/>
        </w:tabs>
        <w:ind w:firstLine="720"/>
        <w:jc w:val="center"/>
        <w:rPr>
          <w:rFonts w:ascii="Century Gothic" w:hAnsi="Century Gothic"/>
          <w:sz w:val="20"/>
          <w:szCs w:val="20"/>
        </w:rPr>
      </w:pPr>
      <w:r>
        <w:rPr>
          <w:rFonts w:ascii="Century Gothic" w:hAnsi="Century Gothic"/>
          <w:b/>
          <w:bCs/>
          <w:sz w:val="20"/>
          <w:szCs w:val="20"/>
        </w:rPr>
        <w:t>Disposición Derogatoria</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t xml:space="preserve">Quedan derogadas aquellas disposiciones de las Ordenanzas Municipales de San Javier que se opongan o contradigan a sus preceptos. </w:t>
      </w:r>
    </w:p>
    <w:p>
      <w:pPr>
        <w:pStyle w:val="Normal"/>
        <w:tabs>
          <w:tab w:val="left" w:pos="1229" w:leader="none"/>
        </w:tabs>
        <w:ind w:firstLine="720"/>
        <w:jc w:val="both"/>
        <w:rPr>
          <w:rFonts w:ascii="Century Gothic" w:hAnsi="Century Gothic"/>
          <w:sz w:val="20"/>
          <w:szCs w:val="20"/>
        </w:rPr>
      </w:pPr>
      <w:r>
        <w:rPr>
          <w:rFonts w:ascii="Century Gothic" w:hAnsi="Century Gothic"/>
          <w:sz w:val="20"/>
          <w:szCs w:val="20"/>
        </w:rPr>
      </w:r>
    </w:p>
    <w:p>
      <w:pPr>
        <w:pStyle w:val="Normal"/>
        <w:tabs>
          <w:tab w:val="left" w:pos="1229" w:leader="none"/>
        </w:tabs>
        <w:ind w:firstLine="720"/>
        <w:rPr/>
      </w:pPr>
      <w:r>
        <w:rPr/>
      </w:r>
    </w:p>
    <w:sectPr>
      <w:headerReference w:type="default" r:id="rId2"/>
      <w:footerReference w:type="default" r:id="rId3"/>
      <w:type w:val="nextPage"/>
      <w:pgSz w:w="11906" w:h="16838"/>
      <w:pgMar w:left="1680" w:right="1680" w:header="408" w:top="1540" w:footer="0" w:bottom="993" w:gutter="0"/>
      <w:pgNumType w:start="49169"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entury Gothic">
    <w:charset w:val="00"/>
    <w:family w:val="roman"/>
    <w:pitch w:val="variable"/>
  </w:font>
  <w:font w:name="Liberation Sans">
    <w:altName w:val="Arial"/>
    <w:charset w:val="00"/>
    <w:family w:val="swiss"/>
    <w:pitch w:val="variable"/>
  </w:font>
  <w:font w:name="Century Gothic">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jc w:val="lef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1080" w:hanging="360"/>
      </w:pPr>
      <w:rPr>
        <w:rFonts w:ascii="Century Gothic" w:hAnsi="Century Gothic" w:cs="Century Gothic" w:hint="default"/>
        <w:sz w:val="20"/>
        <w:rFonts w:cs="Arial"/>
      </w:rPr>
    </w:lvl>
    <w:lvl w:ilvl="1">
      <w:start w:val="1"/>
      <w:numFmt w:val="bullet"/>
      <w:lvlText w:val="o"/>
      <w:lvlJc w:val="left"/>
      <w:pPr>
        <w:ind w:left="1800" w:hanging="360"/>
      </w:pPr>
      <w:rPr>
        <w:rFonts w:ascii="Courier New" w:hAnsi="Courier New" w:cs="Courier New" w:hint="default"/>
        <w:sz w:val="20"/>
        <w:b w:val="false"/>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Verdana" w:hAnsi="Verdana" w:eastAsia="Verdana" w:cs="Verdana"/>
      <w:color w:val="auto"/>
      <w:sz w:val="22"/>
      <w:szCs w:val="22"/>
      <w:lang w:val="es-ES" w:eastAsia="en-US" w:bidi="ar-SA"/>
    </w:rPr>
  </w:style>
  <w:style w:type="paragraph" w:styleId="Ttulo1">
    <w:name w:val="Heading 1"/>
    <w:basedOn w:val="Normal"/>
    <w:uiPriority w:val="9"/>
    <w:qFormat/>
    <w:pPr>
      <w:spacing w:before="118" w:after="0"/>
      <w:ind w:left="984" w:hanging="0"/>
      <w:jc w:val="both"/>
      <w:outlineLvl w:val="0"/>
    </w:pPr>
    <w:rPr>
      <w:b/>
      <w:bCs/>
      <w:sz w:val="18"/>
      <w:szCs w:val="1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6b5f2e"/>
    <w:rPr>
      <w:rFonts w:ascii="Verdana" w:hAnsi="Verdana" w:eastAsia="Verdana" w:cs="Verdana"/>
      <w:lang w:val="es-ES"/>
    </w:rPr>
  </w:style>
  <w:style w:type="character" w:styleId="PiedepginaCar" w:customStyle="1">
    <w:name w:val="Pie de página Car"/>
    <w:basedOn w:val="DefaultParagraphFont"/>
    <w:link w:val="Piedepgina"/>
    <w:uiPriority w:val="99"/>
    <w:qFormat/>
    <w:rsid w:val="006b5f2e"/>
    <w:rPr>
      <w:rFonts w:ascii="Verdana" w:hAnsi="Verdana" w:eastAsia="Verdana" w:cs="Verdana"/>
      <w:lang w:val="es-ES"/>
    </w:rPr>
  </w:style>
  <w:style w:type="character" w:styleId="Strong">
    <w:name w:val="Strong"/>
    <w:basedOn w:val="DefaultParagraphFont"/>
    <w:uiPriority w:val="22"/>
    <w:qFormat/>
    <w:rsid w:val="00220f55"/>
    <w:rPr>
      <w:b/>
      <w:bCs/>
    </w:rPr>
  </w:style>
  <w:style w:type="character" w:styleId="ListLabel1">
    <w:name w:val="ListLabel 1"/>
    <w:qFormat/>
    <w:rPr>
      <w:rFonts w:eastAsia="Verdana" w:cs="Verdana"/>
      <w:spacing w:val="-5"/>
      <w:w w:val="100"/>
      <w:sz w:val="18"/>
      <w:szCs w:val="18"/>
      <w:lang w:val="es-ES" w:eastAsia="en-US" w:bidi="ar-SA"/>
    </w:rPr>
  </w:style>
  <w:style w:type="character" w:styleId="ListLabel2">
    <w:name w:val="ListLabel 2"/>
    <w:qFormat/>
    <w:rPr>
      <w:lang w:val="es-ES" w:eastAsia="en-US" w:bidi="ar-SA"/>
    </w:rPr>
  </w:style>
  <w:style w:type="character" w:styleId="ListLabel3">
    <w:name w:val="ListLabel 3"/>
    <w:qFormat/>
    <w:rPr>
      <w:lang w:val="es-ES" w:eastAsia="en-US" w:bidi="ar-SA"/>
    </w:rPr>
  </w:style>
  <w:style w:type="character" w:styleId="ListLabel4">
    <w:name w:val="ListLabel 4"/>
    <w:qFormat/>
    <w:rPr>
      <w:lang w:val="es-ES" w:eastAsia="en-US" w:bidi="ar-SA"/>
    </w:rPr>
  </w:style>
  <w:style w:type="character" w:styleId="ListLabel5">
    <w:name w:val="ListLabel 5"/>
    <w:qFormat/>
    <w:rPr>
      <w:lang w:val="es-ES" w:eastAsia="en-US" w:bidi="ar-SA"/>
    </w:rPr>
  </w:style>
  <w:style w:type="character" w:styleId="ListLabel6">
    <w:name w:val="ListLabel 6"/>
    <w:qFormat/>
    <w:rPr>
      <w:lang w:val="es-ES" w:eastAsia="en-US" w:bidi="ar-SA"/>
    </w:rPr>
  </w:style>
  <w:style w:type="character" w:styleId="ListLabel7">
    <w:name w:val="ListLabel 7"/>
    <w:qFormat/>
    <w:rPr>
      <w:lang w:val="es-ES" w:eastAsia="en-US" w:bidi="ar-SA"/>
    </w:rPr>
  </w:style>
  <w:style w:type="character" w:styleId="ListLabel8">
    <w:name w:val="ListLabel 8"/>
    <w:qFormat/>
    <w:rPr>
      <w:lang w:val="es-ES" w:eastAsia="en-US" w:bidi="ar-SA"/>
    </w:rPr>
  </w:style>
  <w:style w:type="character" w:styleId="ListLabel9">
    <w:name w:val="ListLabel 9"/>
    <w:qFormat/>
    <w:rPr>
      <w:lang w:val="es-ES" w:eastAsia="en-US" w:bidi="ar-SA"/>
    </w:rPr>
  </w:style>
  <w:style w:type="character" w:styleId="ListLabel10">
    <w:name w:val="ListLabel 10"/>
    <w:qFormat/>
    <w:rPr>
      <w:rFonts w:eastAsia="Verdana" w:cs="Verdana"/>
      <w:spacing w:val="-6"/>
      <w:w w:val="100"/>
      <w:sz w:val="18"/>
      <w:szCs w:val="18"/>
      <w:lang w:val="es-ES" w:eastAsia="en-US" w:bidi="ar-SA"/>
    </w:rPr>
  </w:style>
  <w:style w:type="character" w:styleId="ListLabel11">
    <w:name w:val="ListLabel 11"/>
    <w:qFormat/>
    <w:rPr>
      <w:lang w:val="es-ES" w:eastAsia="en-US" w:bidi="ar-SA"/>
    </w:rPr>
  </w:style>
  <w:style w:type="character" w:styleId="ListLabel12">
    <w:name w:val="ListLabel 12"/>
    <w:qFormat/>
    <w:rPr>
      <w:lang w:val="es-ES" w:eastAsia="en-US" w:bidi="ar-SA"/>
    </w:rPr>
  </w:style>
  <w:style w:type="character" w:styleId="ListLabel13">
    <w:name w:val="ListLabel 13"/>
    <w:qFormat/>
    <w:rPr>
      <w:lang w:val="es-ES" w:eastAsia="en-US" w:bidi="ar-SA"/>
    </w:rPr>
  </w:style>
  <w:style w:type="character" w:styleId="ListLabel14">
    <w:name w:val="ListLabel 14"/>
    <w:qFormat/>
    <w:rPr>
      <w:lang w:val="es-ES" w:eastAsia="en-US" w:bidi="ar-SA"/>
    </w:rPr>
  </w:style>
  <w:style w:type="character" w:styleId="ListLabel15">
    <w:name w:val="ListLabel 15"/>
    <w:qFormat/>
    <w:rPr>
      <w:lang w:val="es-ES" w:eastAsia="en-US" w:bidi="ar-SA"/>
    </w:rPr>
  </w:style>
  <w:style w:type="character" w:styleId="ListLabel16">
    <w:name w:val="ListLabel 16"/>
    <w:qFormat/>
    <w:rPr>
      <w:lang w:val="es-ES" w:eastAsia="en-US" w:bidi="ar-SA"/>
    </w:rPr>
  </w:style>
  <w:style w:type="character" w:styleId="ListLabel17">
    <w:name w:val="ListLabel 17"/>
    <w:qFormat/>
    <w:rPr>
      <w:lang w:val="es-ES" w:eastAsia="en-US" w:bidi="ar-SA"/>
    </w:rPr>
  </w:style>
  <w:style w:type="character" w:styleId="ListLabel18">
    <w:name w:val="ListLabel 18"/>
    <w:qFormat/>
    <w:rPr>
      <w:lang w:val="es-ES" w:eastAsia="en-US" w:bidi="ar-SA"/>
    </w:rPr>
  </w:style>
  <w:style w:type="character" w:styleId="ListLabel19">
    <w:name w:val="ListLabel 19"/>
    <w:qFormat/>
    <w:rPr>
      <w:rFonts w:eastAsia="Verdana" w:cs="Verdana"/>
      <w:spacing w:val="-26"/>
      <w:w w:val="100"/>
      <w:sz w:val="18"/>
      <w:szCs w:val="18"/>
      <w:lang w:val="es-ES" w:eastAsia="en-US" w:bidi="ar-SA"/>
    </w:rPr>
  </w:style>
  <w:style w:type="character" w:styleId="ListLabel20">
    <w:name w:val="ListLabel 20"/>
    <w:qFormat/>
    <w:rPr>
      <w:lang w:val="es-ES" w:eastAsia="en-US" w:bidi="ar-SA"/>
    </w:rPr>
  </w:style>
  <w:style w:type="character" w:styleId="ListLabel21">
    <w:name w:val="ListLabel 21"/>
    <w:qFormat/>
    <w:rPr>
      <w:lang w:val="es-ES" w:eastAsia="en-US" w:bidi="ar-SA"/>
    </w:rPr>
  </w:style>
  <w:style w:type="character" w:styleId="ListLabel22">
    <w:name w:val="ListLabel 22"/>
    <w:qFormat/>
    <w:rPr>
      <w:lang w:val="es-ES" w:eastAsia="en-US" w:bidi="ar-SA"/>
    </w:rPr>
  </w:style>
  <w:style w:type="character" w:styleId="ListLabel23">
    <w:name w:val="ListLabel 23"/>
    <w:qFormat/>
    <w:rPr>
      <w:lang w:val="es-ES" w:eastAsia="en-US" w:bidi="ar-SA"/>
    </w:rPr>
  </w:style>
  <w:style w:type="character" w:styleId="ListLabel24">
    <w:name w:val="ListLabel 24"/>
    <w:qFormat/>
    <w:rPr>
      <w:lang w:val="es-ES" w:eastAsia="en-US" w:bidi="ar-SA"/>
    </w:rPr>
  </w:style>
  <w:style w:type="character" w:styleId="ListLabel25">
    <w:name w:val="ListLabel 25"/>
    <w:qFormat/>
    <w:rPr>
      <w:lang w:val="es-ES" w:eastAsia="en-US" w:bidi="ar-SA"/>
    </w:rPr>
  </w:style>
  <w:style w:type="character" w:styleId="ListLabel26">
    <w:name w:val="ListLabel 26"/>
    <w:qFormat/>
    <w:rPr>
      <w:lang w:val="es-ES" w:eastAsia="en-US" w:bidi="ar-SA"/>
    </w:rPr>
  </w:style>
  <w:style w:type="character" w:styleId="ListLabel27">
    <w:name w:val="ListLabel 27"/>
    <w:qFormat/>
    <w:rPr>
      <w:lang w:val="es-ES" w:eastAsia="en-US" w:bidi="ar-SA"/>
    </w:rPr>
  </w:style>
  <w:style w:type="character" w:styleId="ListLabel28">
    <w:name w:val="ListLabel 28"/>
    <w:qFormat/>
    <w:rPr>
      <w:rFonts w:eastAsia="Verdana" w:cs="Verdana"/>
      <w:spacing w:val="-5"/>
      <w:w w:val="100"/>
      <w:sz w:val="18"/>
      <w:szCs w:val="18"/>
      <w:lang w:val="es-ES" w:eastAsia="en-US" w:bidi="ar-SA"/>
    </w:rPr>
  </w:style>
  <w:style w:type="character" w:styleId="ListLabel29">
    <w:name w:val="ListLabel 29"/>
    <w:qFormat/>
    <w:rPr>
      <w:lang w:val="es-ES" w:eastAsia="en-US" w:bidi="ar-SA"/>
    </w:rPr>
  </w:style>
  <w:style w:type="character" w:styleId="ListLabel30">
    <w:name w:val="ListLabel 30"/>
    <w:qFormat/>
    <w:rPr>
      <w:lang w:val="es-ES" w:eastAsia="en-US" w:bidi="ar-SA"/>
    </w:rPr>
  </w:style>
  <w:style w:type="character" w:styleId="ListLabel31">
    <w:name w:val="ListLabel 31"/>
    <w:qFormat/>
    <w:rPr>
      <w:lang w:val="es-ES" w:eastAsia="en-US" w:bidi="ar-SA"/>
    </w:rPr>
  </w:style>
  <w:style w:type="character" w:styleId="ListLabel32">
    <w:name w:val="ListLabel 32"/>
    <w:qFormat/>
    <w:rPr>
      <w:lang w:val="es-ES" w:eastAsia="en-US" w:bidi="ar-SA"/>
    </w:rPr>
  </w:style>
  <w:style w:type="character" w:styleId="ListLabel33">
    <w:name w:val="ListLabel 33"/>
    <w:qFormat/>
    <w:rPr>
      <w:lang w:val="es-ES" w:eastAsia="en-US" w:bidi="ar-SA"/>
    </w:rPr>
  </w:style>
  <w:style w:type="character" w:styleId="ListLabel34">
    <w:name w:val="ListLabel 34"/>
    <w:qFormat/>
    <w:rPr>
      <w:lang w:val="es-ES" w:eastAsia="en-US" w:bidi="ar-SA"/>
    </w:rPr>
  </w:style>
  <w:style w:type="character" w:styleId="ListLabel35">
    <w:name w:val="ListLabel 35"/>
    <w:qFormat/>
    <w:rPr>
      <w:lang w:val="es-ES" w:eastAsia="en-US" w:bidi="ar-SA"/>
    </w:rPr>
  </w:style>
  <w:style w:type="character" w:styleId="ListLabel36">
    <w:name w:val="ListLabel 36"/>
    <w:qFormat/>
    <w:rPr>
      <w:lang w:val="es-ES" w:eastAsia="en-US" w:bidi="ar-SA"/>
    </w:rPr>
  </w:style>
  <w:style w:type="character" w:styleId="ListLabel37">
    <w:name w:val="ListLabel 37"/>
    <w:qFormat/>
    <w:rPr>
      <w:rFonts w:eastAsia="Verdana" w:cs="Verdana"/>
      <w:spacing w:val="-6"/>
      <w:w w:val="100"/>
      <w:sz w:val="18"/>
      <w:szCs w:val="18"/>
      <w:lang w:val="es-ES" w:eastAsia="en-US" w:bidi="ar-SA"/>
    </w:rPr>
  </w:style>
  <w:style w:type="character" w:styleId="ListLabel38">
    <w:name w:val="ListLabel 38"/>
    <w:qFormat/>
    <w:rPr>
      <w:lang w:val="es-ES" w:eastAsia="en-US" w:bidi="ar-SA"/>
    </w:rPr>
  </w:style>
  <w:style w:type="character" w:styleId="ListLabel39">
    <w:name w:val="ListLabel 39"/>
    <w:qFormat/>
    <w:rPr>
      <w:lang w:val="es-ES" w:eastAsia="en-US" w:bidi="ar-SA"/>
    </w:rPr>
  </w:style>
  <w:style w:type="character" w:styleId="ListLabel40">
    <w:name w:val="ListLabel 40"/>
    <w:qFormat/>
    <w:rPr>
      <w:lang w:val="es-ES" w:eastAsia="en-US" w:bidi="ar-SA"/>
    </w:rPr>
  </w:style>
  <w:style w:type="character" w:styleId="ListLabel41">
    <w:name w:val="ListLabel 41"/>
    <w:qFormat/>
    <w:rPr>
      <w:lang w:val="es-ES" w:eastAsia="en-US" w:bidi="ar-SA"/>
    </w:rPr>
  </w:style>
  <w:style w:type="character" w:styleId="ListLabel42">
    <w:name w:val="ListLabel 42"/>
    <w:qFormat/>
    <w:rPr>
      <w:lang w:val="es-ES" w:eastAsia="en-US" w:bidi="ar-SA"/>
    </w:rPr>
  </w:style>
  <w:style w:type="character" w:styleId="ListLabel43">
    <w:name w:val="ListLabel 43"/>
    <w:qFormat/>
    <w:rPr>
      <w:lang w:val="es-ES" w:eastAsia="en-US" w:bidi="ar-SA"/>
    </w:rPr>
  </w:style>
  <w:style w:type="character" w:styleId="ListLabel44">
    <w:name w:val="ListLabel 44"/>
    <w:qFormat/>
    <w:rPr>
      <w:lang w:val="es-ES" w:eastAsia="en-US" w:bidi="ar-SA"/>
    </w:rPr>
  </w:style>
  <w:style w:type="character" w:styleId="ListLabel45">
    <w:name w:val="ListLabel 45"/>
    <w:qFormat/>
    <w:rPr>
      <w:lang w:val="es-ES" w:eastAsia="en-US" w:bidi="ar-SA"/>
    </w:rPr>
  </w:style>
  <w:style w:type="character" w:styleId="ListLabel46">
    <w:name w:val="ListLabel 46"/>
    <w:qFormat/>
    <w:rPr>
      <w:rFonts w:eastAsia="Verdana" w:cs="Verdana"/>
      <w:spacing w:val="-10"/>
      <w:w w:val="100"/>
      <w:sz w:val="18"/>
      <w:szCs w:val="18"/>
      <w:lang w:val="es-ES" w:eastAsia="en-US" w:bidi="ar-SA"/>
    </w:rPr>
  </w:style>
  <w:style w:type="character" w:styleId="ListLabel47">
    <w:name w:val="ListLabel 47"/>
    <w:qFormat/>
    <w:rPr>
      <w:rFonts w:eastAsia="Verdana" w:cs="Verdana"/>
      <w:spacing w:val="-4"/>
      <w:w w:val="100"/>
      <w:sz w:val="18"/>
      <w:szCs w:val="18"/>
      <w:lang w:val="es-ES" w:eastAsia="en-US" w:bidi="ar-SA"/>
    </w:rPr>
  </w:style>
  <w:style w:type="character" w:styleId="ListLabel48">
    <w:name w:val="ListLabel 48"/>
    <w:qFormat/>
    <w:rPr>
      <w:lang w:val="es-ES" w:eastAsia="en-US" w:bidi="ar-SA"/>
    </w:rPr>
  </w:style>
  <w:style w:type="character" w:styleId="ListLabel49">
    <w:name w:val="ListLabel 49"/>
    <w:qFormat/>
    <w:rPr>
      <w:lang w:val="es-ES" w:eastAsia="en-US" w:bidi="ar-SA"/>
    </w:rPr>
  </w:style>
  <w:style w:type="character" w:styleId="ListLabel50">
    <w:name w:val="ListLabel 50"/>
    <w:qFormat/>
    <w:rPr>
      <w:lang w:val="es-ES" w:eastAsia="en-US" w:bidi="ar-SA"/>
    </w:rPr>
  </w:style>
  <w:style w:type="character" w:styleId="ListLabel51">
    <w:name w:val="ListLabel 51"/>
    <w:qFormat/>
    <w:rPr>
      <w:lang w:val="es-ES" w:eastAsia="en-US" w:bidi="ar-SA"/>
    </w:rPr>
  </w:style>
  <w:style w:type="character" w:styleId="ListLabel52">
    <w:name w:val="ListLabel 52"/>
    <w:qFormat/>
    <w:rPr>
      <w:lang w:val="es-ES" w:eastAsia="en-US" w:bidi="ar-SA"/>
    </w:rPr>
  </w:style>
  <w:style w:type="character" w:styleId="ListLabel53">
    <w:name w:val="ListLabel 53"/>
    <w:qFormat/>
    <w:rPr>
      <w:lang w:val="es-ES" w:eastAsia="en-US" w:bidi="ar-SA"/>
    </w:rPr>
  </w:style>
  <w:style w:type="character" w:styleId="ListLabel54">
    <w:name w:val="ListLabel 54"/>
    <w:qFormat/>
    <w:rPr>
      <w:lang w:val="es-ES" w:eastAsia="en-US" w:bidi="ar-SA"/>
    </w:rPr>
  </w:style>
  <w:style w:type="character" w:styleId="ListLabel55">
    <w:name w:val="ListLabel 55"/>
    <w:qFormat/>
    <w:rPr>
      <w:rFonts w:ascii="Century Gothic" w:hAnsi="Century Gothic" w:eastAsia="Verdana" w:cs="Arial"/>
      <w:sz w:val="20"/>
    </w:rPr>
  </w:style>
  <w:style w:type="character" w:styleId="ListLabel56">
    <w:name w:val="ListLabel 56"/>
    <w:qFormat/>
    <w:rPr>
      <w:rFonts w:ascii="Century Gothic" w:hAnsi="Century Gothic" w:cs="Courier New"/>
      <w:b w:val="false"/>
      <w:sz w:val="20"/>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entury Gothic"/>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spacing w:before="118" w:after="0"/>
      <w:ind w:left="587" w:firstLine="396"/>
      <w:jc w:val="both"/>
    </w:pPr>
    <w:rPr>
      <w:sz w:val="18"/>
      <w:szCs w:val="18"/>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uiPriority w:val="10"/>
    <w:qFormat/>
    <w:pPr>
      <w:spacing w:before="100" w:after="0"/>
      <w:ind w:left="587" w:hanging="0"/>
    </w:pPr>
    <w:rPr/>
  </w:style>
  <w:style w:type="paragraph" w:styleId="ListParagraph">
    <w:name w:val="List Paragraph"/>
    <w:basedOn w:val="Normal"/>
    <w:uiPriority w:val="34"/>
    <w:qFormat/>
    <w:pPr>
      <w:spacing w:before="118" w:after="0"/>
      <w:ind w:left="587" w:hanging="146"/>
      <w:jc w:val="both"/>
    </w:pPr>
    <w:rPr/>
  </w:style>
  <w:style w:type="paragraph" w:styleId="TableParagraph" w:customStyle="1">
    <w:name w:val="Table Paragraph"/>
    <w:basedOn w:val="Normal"/>
    <w:uiPriority w:val="1"/>
    <w:qFormat/>
    <w:pPr>
      <w:spacing w:before="25" w:after="0"/>
      <w:ind w:left="56" w:hanging="0"/>
    </w:pPr>
    <w:rPr/>
  </w:style>
  <w:style w:type="paragraph" w:styleId="Cabecera">
    <w:name w:val="Header"/>
    <w:basedOn w:val="Normal"/>
    <w:link w:val="EncabezadoCar"/>
    <w:uiPriority w:val="99"/>
    <w:unhideWhenUsed/>
    <w:rsid w:val="006b5f2e"/>
    <w:pPr>
      <w:tabs>
        <w:tab w:val="center" w:pos="4252" w:leader="none"/>
        <w:tab w:val="right" w:pos="8504" w:leader="none"/>
      </w:tabs>
    </w:pPr>
    <w:rPr/>
  </w:style>
  <w:style w:type="paragraph" w:styleId="Piedepgina">
    <w:name w:val="Footer"/>
    <w:basedOn w:val="Normal"/>
    <w:link w:val="PiedepginaCar"/>
    <w:uiPriority w:val="99"/>
    <w:unhideWhenUsed/>
    <w:rsid w:val="006b5f2e"/>
    <w:pPr>
      <w:tabs>
        <w:tab w:val="center" w:pos="4252" w:leader="none"/>
        <w:tab w:val="right" w:pos="8504" w:leader="none"/>
      </w:tabs>
    </w:pPr>
    <w:rPr/>
  </w:style>
  <w:style w:type="paragraph" w:styleId="Normal1" w:customStyle="1">
    <w:name w:val="Normal1"/>
    <w:basedOn w:val="Normal"/>
    <w:qFormat/>
    <w:rsid w:val="00dd5d89"/>
    <w:pPr>
      <w:widowControl/>
      <w:spacing w:beforeAutospacing="1" w:afterAutospacing="1"/>
    </w:pPr>
    <w:rPr>
      <w:rFonts w:ascii="Times New Roman" w:hAnsi="Times New Roman" w:eastAsia="Times New Roman" w:cs="Times New Roman"/>
      <w:sz w:val="24"/>
      <w:szCs w:val="24"/>
      <w:lang w:eastAsia="es-ES"/>
    </w:rPr>
  </w:style>
  <w:style w:type="paragraph" w:styleId="Centradonegrita" w:customStyle="1">
    <w:name w:val="centradonegrita"/>
    <w:basedOn w:val="Normal"/>
    <w:qFormat/>
    <w:rsid w:val="00220f55"/>
    <w:pPr>
      <w:widowControl/>
      <w:spacing w:beforeAutospacing="1" w:afterAutospacing="1"/>
    </w:pPr>
    <w:rPr>
      <w:rFonts w:ascii="Times New Roman" w:hAnsi="Times New Roman" w:eastAsia="Times New Roman" w:cs="Times New Roman"/>
      <w:sz w:val="24"/>
      <w:szCs w:val="24"/>
      <w:lang w:eastAsia="es-ES"/>
    </w:rPr>
  </w:style>
  <w:style w:type="paragraph" w:styleId="Normal2" w:customStyle="1">
    <w:name w:val="Normal2"/>
    <w:basedOn w:val="Normal"/>
    <w:qFormat/>
    <w:rsid w:val="00d60fb1"/>
    <w:pPr>
      <w:widowControl/>
      <w:spacing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laconcuadrcula">
    <w:name w:val="Table Grid"/>
    <w:basedOn w:val="Tablanormal"/>
    <w:uiPriority w:val="39"/>
    <w:rsid w:val="00533c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LibreOffice/5.3.1.2$Windows_x86 LibreOffice_project/e80a0e0fd1875e1696614d24c32df0f95f03deb2</Application>
  <Pages>17</Pages>
  <Words>5748</Words>
  <Characters>30673</Characters>
  <CharactersWithSpaces>36292</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2023-10-10T11:41:00Z</dcterms:created>
  <dc:creator>Organismo Autónomo Boletín Oficial de la Región de Murcia</dc:creator>
  <dc:description/>
  <dc:language>es-ES</dc:language>
  <cp:lastModifiedBy>Javier Gracia</cp:lastModifiedBy>
  <dcterms:modified xsi:type="dcterms:W3CDTF">2023-10-10T11:41:00Z</dcterms:modified>
  <cp:revision>2</cp:revision>
  <dc:subject>A-291211-19970</dc:subject>
  <dc:title>Publicación número 19970 del BORM número 299 de 29/12/2011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2011-12-28T00:00:00Z</vt:filetime>
  </property>
  <property fmtid="{D5CDD505-2E9C-101B-9397-08002B2CF9AE}" pid="4" name="Creator">
    <vt:lpwstr>Adobe InDesign CS5 (7.0)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2020-09-12T00:00:00Z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